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istas-de-precios-aprobadas"/>
    <w:p>
      <w:pPr>
        <w:pStyle w:val="Heading1"/>
      </w:pPr>
      <w:r>
        <w:t xml:space="preserve">Listas de precios aprobadas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BLOQUEADO — NO HAY PRECIO APROBADO PARA PUBLICACIÓN</w:t>
      </w:r>
      <w:r>
        <w:t xml:space="preserve"> </w:t>
      </w: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(se eliminó el punto de referencia no aprobado de la tabla de cara al cliente)</w:t>
      </w:r>
    </w:p>
    <w:bookmarkStart w:id="1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Salida orientada al cliente derivada de</w:t>
      </w:r>
      <w:r>
        <w:t xml:space="preserve"> </w:t>
      </w:r>
      <w:r>
        <w:rPr>
          <w:rStyle w:val="VerbatimChar"/>
        </w:rPr>
        <w:t xml:space="preserve">CS-04_modelo_costos_precios.md</w:t>
      </w:r>
      <w:r>
        <w:t xml:space="preserve">. Contiene únicamente precios aprobados; sin datos de costos ni márgenes.</w:t>
      </w:r>
    </w:p>
    <w:bookmarkEnd w:id="19"/>
    <w:bookmarkStart w:id="20" w:name="lista-de-atención-al-cliente"/>
    <w:p>
      <w:pPr>
        <w:pStyle w:val="Heading2"/>
      </w:pPr>
      <w:r>
        <w:t xml:space="preserve">Lista de atención al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Participación</w:t>
            </w:r>
          </w:p>
        </w:tc>
        <w:tc>
          <w:tcPr/>
          <w:p>
            <w:pPr>
              <w:pStyle w:val="Compact"/>
            </w:pPr>
            <w:r>
              <w:t xml:space="preserve">Bloques seleccionados</w:t>
            </w:r>
          </w:p>
        </w:tc>
        <w:tc>
          <w:tcPr/>
          <w:p>
            <w:pPr>
              <w:pStyle w:val="Compact"/>
            </w:pPr>
            <w:r>
              <w:t xml:space="preserve">Precio aprobado (sin impuestos)</w:t>
            </w:r>
          </w:p>
        </w:tc>
        <w:tc>
          <w:tcPr/>
          <w:p>
            <w:pPr>
              <w:pStyle w:val="Compact"/>
            </w:pPr>
            <w:r>
              <w:t xml:space="preserve">Impuestos</w:t>
            </w:r>
          </w:p>
        </w:tc>
        <w:tc>
          <w:tcPr/>
          <w:p>
            <w:pPr>
              <w:pStyle w:val="Compact"/>
            </w:pPr>
            <w:r>
              <w:t xml:space="preserve">Validez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Ronda de gases</w:t>
            </w:r>
          </w:p>
        </w:tc>
        <w:tc>
          <w:tcPr/>
          <w:p>
            <w:pPr>
              <w:pStyle w:val="Compact"/>
            </w:pPr>
            <w:r>
              <w:t xml:space="preserve">Cualquier selección entre CO, SO₂, O₃ y NO/NO₂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APROBADO — NO PUBLICAR NI COTIZAR</w:t>
            </w:r>
          </w:p>
        </w:tc>
        <w:tc>
          <w:tcPr/>
          <w:p>
            <w:pPr>
              <w:pStyle w:val="Compact"/>
            </w:pPr>
            <w:r>
              <w:t xml:space="preserve">Pendiente de revisión de validación institucional</w:t>
            </w:r>
          </w:p>
        </w:tc>
        <w:tc>
          <w:tcPr/>
          <w:p>
            <w:pPr>
              <w:pStyle w:val="Compact"/>
            </w:pPr>
            <w:r>
              <w:t xml:space="preserve">Pendiente de aprobación</w:t>
            </w:r>
          </w:p>
        </w:tc>
      </w:tr>
    </w:tbl>
    <w:p>
      <w:pPr>
        <w:pStyle w:val="BodyText"/>
      </w:pPr>
      <w:r>
        <w:t xml:space="preserve">COP 5.928.000 es un benchmark de propuesta interna únicamente. No debe aparecer en un</w:t>
      </w:r>
      <w:r>
        <w:t xml:space="preserve"> </w:t>
      </w:r>
      <w:r>
        <w:t xml:space="preserve">lista de precios publicada o cotización real hasta que CS-04 demuestre el piso de costo directo</w:t>
      </w:r>
      <w:r>
        <w:t xml:space="preserve"> </w:t>
      </w:r>
      <w:r>
        <w:t xml:space="preserve">y la Directora del grupo aprueban el valor, impuestos y vigencia.</w:t>
      </w:r>
      <w:r>
        <w:t xml:space="preserve"> </w:t>
      </w:r>
      <w:r>
        <w:t xml:space="preserve">los impuestos y la vigencia.</w:t>
      </w:r>
    </w:p>
    <w:bookmarkEnd w:id="20"/>
    <w:bookmarkStart w:id="21" w:name="inclusiones"/>
    <w:p>
      <w:pPr>
        <w:pStyle w:val="Heading2"/>
      </w:pPr>
      <w:r>
        <w:t xml:space="preserve">Inclusiones</w:t>
      </w:r>
    </w:p>
    <w:p>
      <w:pPr>
        <w:pStyle w:val="FirstParagraph"/>
      </w:pPr>
      <w:r>
        <w:t xml:space="preserve">Inscripción y revisión; hasta un analizador por bloque contratado; preparación,</w:t>
      </w:r>
      <w:r>
        <w:t xml:space="preserve"> </w:t>
      </w:r>
      <w:r>
        <w:t xml:space="preserve">instalaciones y generación; evaluación; informe digital; constancia; y canales</w:t>
      </w:r>
      <w:r>
        <w:t xml:space="preserve"> </w:t>
      </w:r>
      <w:r>
        <w:t xml:space="preserve">SGC. Un analizador adicional aceptado por capacidad residual no genera recargo</w:t>
      </w:r>
      <w:r>
        <w:t xml:space="preserve"> </w:t>
      </w:r>
      <w:r>
        <w:t xml:space="preserve">durante la etapa de propuesta.</w:t>
      </w:r>
    </w:p>
    <w:bookmarkEnd w:id="21"/>
    <w:bookmarkStart w:id="22" w:name="exclusiones"/>
    <w:p>
      <w:pPr>
        <w:pStyle w:val="Heading2"/>
      </w:pPr>
      <w:r>
        <w:t xml:space="preserve">Exclusiones</w:t>
      </w:r>
    </w:p>
    <w:p>
      <w:pPr>
        <w:pStyle w:val="FirstParagraph"/>
      </w:pPr>
      <w:r>
        <w:t xml:space="preserve">Transporte, seguros y riesgo del equipo; calibración, mantenimiento o</w:t>
      </w:r>
      <w:r>
        <w:t xml:space="preserve"> </w:t>
      </w:r>
      <w:r>
        <w:t xml:space="preserve">reparación; aduanas, visas, alojamiento, alimentación e impuestos de</w:t>
      </w:r>
      <w:r>
        <w:t xml:space="preserve"> </w:t>
      </w:r>
      <w:r>
        <w:t xml:space="preserve">importación o exportación.</w:t>
      </w:r>
    </w:p>
    <w:bookmarkEnd w:id="22"/>
    <w:bookmarkStart w:id="23" w:name="condiciones"/>
    <w:p>
      <w:pPr>
        <w:pStyle w:val="Heading2"/>
      </w:pPr>
      <w:r>
        <w:t xml:space="preserve">Condiciones</w:t>
      </w:r>
    </w:p>
    <w:p>
      <w:pPr>
        <w:pStyle w:val="Compact"/>
        <w:numPr>
          <w:ilvl w:val="0"/>
          <w:numId w:val="1001"/>
        </w:numPr>
      </w:pPr>
      <w:r>
        <w:t xml:space="preserve">Se requiere una cotización formal para cada pedido.</w:t>
      </w:r>
    </w:p>
    <w:p>
      <w:pPr>
        <w:pStyle w:val="Compact"/>
        <w:numPr>
          <w:ilvl w:val="0"/>
          <w:numId w:val="1001"/>
        </w:numPr>
      </w:pPr>
      <w:r>
        <w:t xml:space="preserve">Se requiere una cotización formal para cada pedido.</w:t>
      </w:r>
    </w:p>
    <w:p>
      <w:pPr>
        <w:pStyle w:val="Compact"/>
        <w:numPr>
          <w:ilvl w:val="0"/>
          <w:numId w:val="1001"/>
        </w:numPr>
      </w:pPr>
      <w:r>
        <w:t xml:space="preserve">Moneda: COP.</w:t>
      </w:r>
    </w:p>
    <w:bookmarkEnd w:id="23"/>
    <w:bookmarkEnd w:id="24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2026-07-16T14:07:48Z</dcterms:created>
  <dcterms:modified xsi:type="dcterms:W3CDTF">2026-07-16T14:07:48Z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