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s-06-plantilla-de-cotización"/>
    <w:p>
      <w:pPr>
        <w:pStyle w:val="Heading1"/>
      </w:pPr>
      <w:r>
        <w:t xml:space="preserve">CS-06 — Plantilla de cotización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Profesional de proyectos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(fecha límite de aceptación versus vencimiento agregada, tabla de cronograma de pagos, impuestos de importación/notas de retención para internacionales, referencia de política cambiaria, regla del método de aceptación)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Realizar una oferta comercial controlada.</w:t>
      </w:r>
    </w:p>
    <w:bookmarkEnd w:id="9"/>
    <w:bookmarkStart w:id="24" w:name="secciones-mínimas"/>
    <w:p>
      <w:pPr>
        <w:pStyle w:val="Heading2"/>
      </w:pPr>
      <w:r>
        <w:t xml:space="preserve">Secciones mínimas</w:t>
      </w:r>
    </w:p>
    <w:bookmarkStart w:id="10" w:name="encabezado-de-la-cotización"/>
    <w:p>
      <w:pPr>
        <w:pStyle w:val="Heading3"/>
      </w:pPr>
      <w:r>
        <w:t xml:space="preserve">1. Encabezado de la cotización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cotización</w:t>
            </w:r>
          </w:p>
        </w:tc>
        <w:tc>
          <w:tcPr/>
          <w:p>
            <w:pPr>
              <w:pStyle w:val="Compact"/>
            </w:pPr>
            <w:r>
              <w:t xml:space="preserve">[POR DILIGENCIAR — único, p. ej., Q-AAAA-NNNN]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[POR DILIGENCIAR — la misma familia para todas las revisiones; p. ej., Q-2026-0042]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</w:t>
            </w:r>
          </w:p>
        </w:tc>
        <w:tc>
          <w:tcPr/>
          <w:p>
            <w:pPr>
              <w:pStyle w:val="Compact"/>
            </w:pPr>
            <w:r>
              <w:t xml:space="preserve">[POR DILIGENCIAR — inicial = 0; se incrementa con cada revisión]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caducidad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30 días desde la emisión, después de los cuales no se puede emitir la oferta, pero sí una nueva]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límite de aceptación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 15 días calendario desde la emisión, antes de los cuales el cliente debe firmar para bloquear la oferta; distinto del vencimiento]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aceptación</w:t>
            </w:r>
          </w:p>
        </w:tc>
        <w:tc>
          <w:tcPr/>
          <w:p>
            <w:pPr>
              <w:pStyle w:val="Compact"/>
            </w:pPr>
            <w:r>
              <w:t xml:space="preserve">Cotización firmada por representante autorizado y devuelta desde correo institucional, u orden de compra formal aceptada por la Universidad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Reemplaza cotización anterior</w:t>
            </w:r>
          </w:p>
        </w:tc>
        <w:tc>
          <w:tcPr/>
          <w:p>
            <w:pPr>
              <w:pStyle w:val="Compact"/>
            </w:pPr>
            <w:r>
              <w:t xml:space="preserve">[POR DILIGENCIAR — número de cotización y revisión que se reemplazan,</w:t>
            </w:r>
            <w:r>
              <w:t xml:space="preserve"> </w:t>
            </w:r>
            <w:r>
              <w:t xml:space="preserve">“ninguna”</w:t>
            </w:r>
            <w:r>
              <w:t xml:space="preserve"> </w:t>
            </w:r>
            <w:r>
              <w:t xml:space="preserve">si es la primera]</w:t>
            </w:r>
          </w:p>
        </w:tc>
      </w:tr>
    </w:tbl>
    <w:bookmarkEnd w:id="10"/>
    <w:bookmarkStart w:id="11" w:name="X079d8a30be5f58e87cdfbe5f818c7fe51c60385"/>
    <w:p>
      <w:pPr>
        <w:pStyle w:val="Heading3"/>
      </w:pPr>
      <w:r>
        <w:t xml:space="preserve">2. Información legal y de facturación del cliente</w:t>
      </w:r>
    </w:p>
    <w:p>
      <w:pPr>
        <w:pStyle w:val="Compact"/>
        <w:numPr>
          <w:ilvl w:val="0"/>
          <w:numId w:val="1001"/>
        </w:numPr>
      </w:pPr>
      <w:r>
        <w:t xml:space="preserve">Nombre legal</w:t>
      </w:r>
    </w:p>
    <w:p>
      <w:pPr>
        <w:pStyle w:val="Compact"/>
        <w:numPr>
          <w:ilvl w:val="0"/>
          <w:numId w:val="1001"/>
        </w:numPr>
      </w:pPr>
      <w:r>
        <w:t xml:space="preserve">Identificación tributaria / número de IVA</w:t>
      </w:r>
    </w:p>
    <w:p>
      <w:pPr>
        <w:pStyle w:val="Compact"/>
        <w:numPr>
          <w:ilvl w:val="0"/>
          <w:numId w:val="1001"/>
        </w:numPr>
      </w:pPr>
      <w:r>
        <w:t xml:space="preserve">Dirección de facturación</w:t>
      </w:r>
    </w:p>
    <w:p>
      <w:pPr>
        <w:pStyle w:val="Compact"/>
        <w:numPr>
          <w:ilvl w:val="0"/>
          <w:numId w:val="1001"/>
        </w:numPr>
      </w:pPr>
      <w:r>
        <w:t xml:space="preserve">Contacto de facturación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Moneda de facturación</w:t>
      </w:r>
      <w:r>
        <w:t xml:space="preserve">: debe coincidir con la moneda de facturación CS-01, a menos que se apruebe explícitamente lo contrario.</w:t>
      </w:r>
    </w:p>
    <w:bookmarkEnd w:id="11"/>
    <w:bookmarkStart w:id="12" w:name="id-de-ronda-y-fechas"/>
    <w:p>
      <w:pPr>
        <w:pStyle w:val="Heading3"/>
      </w:pPr>
      <w:r>
        <w:t xml:space="preserve">3. ID de ronda y fechas</w:t>
      </w:r>
    </w:p>
    <w:p>
      <w:pPr>
        <w:pStyle w:val="Compact"/>
        <w:numPr>
          <w:ilvl w:val="0"/>
          <w:numId w:val="1002"/>
        </w:numPr>
      </w:pPr>
      <w:r>
        <w:t xml:space="preserve">ID de ronda: [POR DILIGENCIAR]</w:t>
      </w:r>
    </w:p>
    <w:p>
      <w:pPr>
        <w:pStyle w:val="Compact"/>
        <w:numPr>
          <w:ilvl w:val="0"/>
          <w:numId w:val="1002"/>
        </w:numPr>
      </w:pPr>
      <w:r>
        <w:t xml:space="preserve">Fechas provisionales / confirmadas: [POR DILIGENCIAR]</w:t>
      </w:r>
    </w:p>
    <w:p>
      <w:pPr>
        <w:pStyle w:val="Compact"/>
        <w:numPr>
          <w:ilvl w:val="0"/>
          <w:numId w:val="1002"/>
        </w:numPr>
      </w:pPr>
      <w:r>
        <w:t xml:space="preserve">Ubicación: [POR DILIGENCIAR]</w:t>
      </w:r>
    </w:p>
    <w:bookmarkEnd w:id="12"/>
    <w:bookmarkStart w:id="13" w:name="paquete-de-gases-seleccionado"/>
    <w:p>
      <w:pPr>
        <w:pStyle w:val="Heading3"/>
      </w:pPr>
      <w:r>
        <w:t xml:space="preserve">4. Paquete de gases seleccionado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[Sí / 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SO₂</w:t>
            </w:r>
          </w:p>
        </w:tc>
        <w:tc>
          <w:tcPr/>
          <w:p>
            <w:pPr>
              <w:pStyle w:val="Compact"/>
            </w:pPr>
            <w:r>
              <w:t xml:space="preserve">[Sí / 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[Sí / 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NO₂</w:t>
            </w:r>
          </w:p>
        </w:tc>
        <w:tc>
          <w:tcPr/>
          <w:p>
            <w:pPr>
              <w:pStyle w:val="Compact"/>
            </w:pPr>
            <w:r>
              <w:t xml:space="preserve">[Sí / 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O₃</w:t>
            </w:r>
          </w:p>
        </w:tc>
        <w:tc>
          <w:tcPr/>
          <w:p>
            <w:pPr>
              <w:pStyle w:val="Compact"/>
            </w:pPr>
            <w:r>
              <w:t xml:space="preserve">[Sí / No]</w:t>
            </w:r>
          </w:p>
        </w:tc>
      </w:tr>
    </w:tbl>
    <w:bookmarkEnd w:id="13"/>
    <w:bookmarkStart w:id="14" w:name="analizadores-y-participantes"/>
    <w:p>
      <w:pPr>
        <w:pStyle w:val="Heading3"/>
      </w:pPr>
      <w:r>
        <w:t xml:space="preserve">5. Analizadores y participantes</w:t>
      </w:r>
    </w:p>
    <w:p>
      <w:pPr>
        <w:pStyle w:val="Compact"/>
        <w:numPr>
          <w:ilvl w:val="0"/>
          <w:numId w:val="1003"/>
        </w:numPr>
      </w:pPr>
      <w:r>
        <w:t xml:space="preserve">Número de analizadores: [POR DILIGENCIAR]</w:t>
      </w:r>
    </w:p>
    <w:p>
      <w:pPr>
        <w:pStyle w:val="Compact"/>
        <w:numPr>
          <w:ilvl w:val="0"/>
          <w:numId w:val="1003"/>
        </w:numPr>
      </w:pPr>
      <w:r>
        <w:t xml:space="preserve">Número de participantes cubiertos: [POR DILIGENCIAR]</w:t>
      </w:r>
    </w:p>
    <w:p>
      <w:pPr>
        <w:pStyle w:val="Compact"/>
        <w:numPr>
          <w:ilvl w:val="0"/>
          <w:numId w:val="1003"/>
        </w:numPr>
      </w:pPr>
      <w:r>
        <w:t xml:space="preserve">Configuración operativa: [Gas individual / CO/SO₂ simultáneos]</w:t>
      </w:r>
    </w:p>
    <w:p>
      <w:pPr>
        <w:pStyle w:val="Compact"/>
        <w:numPr>
          <w:ilvl w:val="0"/>
          <w:numId w:val="1003"/>
        </w:numPr>
      </w:pPr>
      <w:r>
        <w:t xml:space="preserve">Se acepta analizador adicional con capacidad residual: [SI / NO]; recargo provisional: COP 0</w:t>
      </w:r>
    </w:p>
    <w:bookmarkEnd w:id="14"/>
    <w:bookmarkStart w:id="15" w:name="entregables-incluidos"/>
    <w:p>
      <w:pPr>
        <w:pStyle w:val="Heading3"/>
      </w:pPr>
      <w:r>
        <w:t xml:space="preserve">6. Entregables incluidos</w:t>
      </w:r>
    </w:p>
    <w:p>
      <w:pPr>
        <w:pStyle w:val="FirstParagraph"/>
      </w:pPr>
      <w:r>
        <w:t xml:space="preserve">[POR DILIGENCIAR — derivado de CS-01 Sección 11.]</w:t>
      </w:r>
    </w:p>
    <w:bookmarkEnd w:id="15"/>
    <w:bookmarkStart w:id="16" w:name="Xbcf4500e464f8b28e589575fd45e2e9d82731f7"/>
    <w:p>
      <w:pPr>
        <w:pStyle w:val="Heading3"/>
      </w:pPr>
      <w:r>
        <w:t xml:space="preserve">7. Exclusiones y costos a cargo de los participantes</w:t>
      </w:r>
    </w:p>
    <w:p>
      <w:pPr>
        <w:pStyle w:val="FirstParagraph"/>
      </w:pPr>
      <w:r>
        <w:t xml:space="preserve">[POR DILIGENCIAR — derivado de CS-01 Sección 11. Para clientes internacionales, enumere explícitamente: transporte, seguros, aduanas, visas, impuestos de importación.]</w:t>
      </w:r>
    </w:p>
    <w:bookmarkEnd w:id="16"/>
    <w:bookmarkStart w:id="17" w:name="precio"/>
    <w:p>
      <w:pPr>
        <w:pStyle w:val="Heading3"/>
      </w:pPr>
      <w:r>
        <w:t xml:space="preserve">8. Precio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Importe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 fija de participación en la ronda</w:t>
            </w:r>
          </w:p>
        </w:tc>
        <w:tc>
          <w:tcPr/>
          <w:p>
            <w:pPr>
              <w:pStyle w:val="Compact"/>
            </w:pPr>
            <w:r>
              <w:t xml:space="preserve">[POR DILIGENCIAR — solo el valor aprobado en la pestaña 9 de CS-04; nunca copie la referencia comparativa interna]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por bloques seleccionados</w:t>
            </w:r>
          </w:p>
        </w:tc>
        <w:tc>
          <w:tcPr/>
          <w:p>
            <w:pPr>
              <w:pStyle w:val="Compact"/>
            </w:pPr>
            <w:r>
              <w:t xml:space="preserve">COP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Analizador adicional aceptado con capacidad residual</w:t>
            </w:r>
          </w:p>
        </w:tc>
        <w:tc>
          <w:tcPr/>
          <w:p>
            <w:pPr>
              <w:pStyle w:val="Compact"/>
            </w:pPr>
            <w:r>
              <w:t xml:space="preserve">COP 0 durante etapa de propuesta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 (sin impuestos)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Impuestos</w:t>
            </w:r>
          </w:p>
        </w:tc>
        <w:tc>
          <w:tcPr/>
          <w:p>
            <w:pPr>
              <w:pStyle w:val="Compact"/>
            </w:pPr>
            <w:r>
              <w:t xml:space="preserve">[POR DILIGENCIAR — ver notas internacionales si corresponde]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[CÁLCULO]</w:t>
            </w:r>
          </w:p>
        </w:tc>
      </w:tr>
    </w:tbl>
    <w:p>
      <w:pPr>
        <w:pStyle w:val="BodyText"/>
      </w:pPr>
      <w:r>
        <w:t xml:space="preserve">Moneda: COP. No se podrá emitir ninguna cotización real mientras el campo de tarifa aprobada esté</w:t>
      </w:r>
      <w:r>
        <w:t xml:space="preserve"> </w:t>
      </w:r>
      <w:r>
        <w:t xml:space="preserve">pendiente.</w:t>
      </w:r>
    </w:p>
    <w:p>
      <w:pPr>
        <w:pStyle w:val="BodyText"/>
      </w:pPr>
      <w:r>
        <w:rPr>
          <w:b/>
          <w:bCs/>
        </w:rPr>
        <w:t xml:space="preserve">Referencia de política cambiaria</w:t>
      </w:r>
      <w:r>
        <w:t xml:space="preserve"> </w:t>
      </w:r>
      <w:r>
        <w:t xml:space="preserve">(cuando moneda de facturación ≠ moneda de cálculo de costos): tipo de cambio aplicado, fuente, fecha de actualización, asignación de riesgo cambiario. Extraído de CS-01 / pestaña 1 de CS-04.</w:t>
      </w:r>
    </w:p>
    <w:bookmarkEnd w:id="17"/>
    <w:bookmarkStart w:id="18" w:name="Xf6e9964d490a6ffb38632d165b8138715fcd2fd"/>
    <w:p>
      <w:pPr>
        <w:pStyle w:val="Heading3"/>
      </w:pPr>
      <w:r>
        <w:t xml:space="preserve">9. Calendario de pagos y condiciones de orden de compra aceptables</w:t>
      </w:r>
    </w:p>
    <w:p>
      <w:pPr>
        <w:pStyle w:val="FirstParagraph"/>
      </w:pPr>
      <w:r>
        <w:rPr>
          <w:b/>
          <w:bCs/>
        </w:rPr>
        <w:t xml:space="preserve">Tabla de pagos estándar</w:t>
      </w:r>
      <w:r>
        <w:t xml:space="preserve"> </w:t>
      </w:r>
      <w:r>
        <w:t xml:space="preserve">(úsela para la variante predeterminada):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% del total</w:t>
            </w:r>
          </w:p>
        </w:tc>
        <w:tc>
          <w:tcPr/>
          <w:p>
            <w:pPr>
              <w:pStyle w:val="Compact"/>
            </w:pPr>
            <w:r>
              <w:t xml:space="preserve">Importe</w:t>
            </w:r>
          </w:p>
        </w:tc>
        <w:tc>
          <w:tcPr/>
          <w:p>
            <w:pPr>
              <w:pStyle w:val="Compact"/>
            </w:pPr>
            <w:r>
              <w:t xml:space="preserve">Fecha de vencimiento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Aceptación del pedido</w:t>
            </w:r>
          </w:p>
        </w:tc>
        <w:tc>
          <w:tcPr/>
          <w:p>
            <w:pPr>
              <w:pStyle w:val="Compact"/>
            </w:pPr>
            <w:r>
              <w:t xml:space="preserve">[POR DILIGENCIAR — p. ej., 50 %]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Transferencia / orden de compra / tarjeta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Pre-ronda (5 días hábiles antes del inicio)</w:t>
            </w:r>
          </w:p>
        </w:tc>
        <w:tc>
          <w:tcPr/>
          <w:p>
            <w:pPr>
              <w:pStyle w:val="Compact"/>
            </w:pPr>
            <w:r>
              <w:t xml:space="preserve">[LLENAR - por ejemplo, 50%]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Cable / 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[CÁLCULO]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Estructuras de pago alternativas</w:t>
      </w:r>
      <w:r>
        <w:t xml:space="preserve"> </w:t>
      </w:r>
      <w:r>
        <w:t xml:space="preserve">(seleccione si corresponde, justificación del documento):</w:t>
      </w:r>
    </w:p>
    <w:p>
      <w:pPr>
        <w:pStyle w:val="Compact"/>
        <w:numPr>
          <w:ilvl w:val="0"/>
          <w:numId w:val="1004"/>
        </w:numPr>
      </w:pPr>
      <w:r>
        <w:t xml:space="preserve">100 % por anticipado (p. ej., para importes pequeños o clientes nuevos).</w:t>
      </w:r>
    </w:p>
    <w:p>
      <w:pPr>
        <w:pStyle w:val="Compact"/>
        <w:numPr>
          <w:ilvl w:val="0"/>
          <w:numId w:val="1004"/>
        </w:numPr>
      </w:pPr>
      <w:r>
        <w:t xml:space="preserve">100% contra entrega (solo para clientes institucionales con crédito aprobado; requiere preaprobación CS-01).</w:t>
      </w:r>
    </w:p>
    <w:p>
      <w:pPr>
        <w:pStyle w:val="Compact"/>
        <w:numPr>
          <w:ilvl w:val="0"/>
          <w:numId w:val="1004"/>
        </w:numPr>
      </w:pPr>
      <w:r>
        <w:t xml:space="preserve">PO a 30/60/90 días (solo para clientes institucionales con historial crediticio; necesita aprobación financiera).</w:t>
      </w:r>
    </w:p>
    <w:p>
      <w:pPr>
        <w:pStyle w:val="FirstParagraph"/>
      </w:pPr>
      <w:r>
        <w:rPr>
          <w:b/>
          <w:bCs/>
        </w:rPr>
        <w:t xml:space="preserve">Consecuencias de la mora</w:t>
      </w:r>
      <w:r>
        <w:t xml:space="preserve"> </w:t>
      </w:r>
      <w:r>
        <w:t xml:space="preserve">(enlace a CS-08 cláusula 6): intereses, suspensión del servicio, desencadenante de cancelación.</w:t>
      </w:r>
    </w:p>
    <w:bookmarkEnd w:id="18"/>
    <w:bookmarkStart w:id="19" w:name="X26def5805254e108c939c39b4c1c928bbf04e0b"/>
    <w:p>
      <w:pPr>
        <w:pStyle w:val="Heading3"/>
      </w:pPr>
      <w:r>
        <w:t xml:space="preserve">10. Condición de inscripción mínima / aplazamiento</w:t>
      </w:r>
    </w:p>
    <w:p>
      <w:pPr>
        <w:pStyle w:val="FirstParagraph"/>
      </w:pPr>
      <w:r>
        <w:t xml:space="preserve">[POR DILIGENCIAR — por ejemplo,</w:t>
      </w:r>
      <w:r>
        <w:t xml:space="preserve"> </w:t>
      </w:r>
      <w:r>
        <w:t xml:space="preserve">“Esta cotización está condicionada a la inscripción mínima de N participantes antes del [fecha]. Si no se cumple el mínimo, CALAIRE-EA puede posponer o cancelar la ronda con un reembolso completo”</w:t>
      </w:r>
      <w:r>
        <w:t xml:space="preserve">.]</w:t>
      </w:r>
    </w:p>
    <w:bookmarkEnd w:id="19"/>
    <w:bookmarkStart w:id="20" w:name="condiciones-de-cancelación"/>
    <w:p>
      <w:pPr>
        <w:pStyle w:val="Heading3"/>
      </w:pPr>
      <w:r>
        <w:t xml:space="preserve">11. Condiciones de cancelación</w:t>
      </w:r>
    </w:p>
    <w:p>
      <w:pPr>
        <w:pStyle w:val="FirstParagraph"/>
      </w:pPr>
      <w:r>
        <w:t xml:space="preserve">[POR DILIGENCIAR — derivado de CS-01 Sección 8, incluido el programa de tarifas según la fecha límite de retiro. Haga referencia a la plantilla de registro CS-12 que se abrirá ante cualquier cambio.]</w:t>
      </w:r>
    </w:p>
    <w:bookmarkEnd w:id="20"/>
    <w:bookmarkStart w:id="21" w:name="X2ec1a5b5fc774e15408cc15a8049d77e08a8625"/>
    <w:p>
      <w:pPr>
        <w:pStyle w:val="Heading3"/>
      </w:pPr>
      <w:r>
        <w:t xml:space="preserve">12. Redacción sobre el estado previo a la acreditación</w:t>
      </w:r>
    </w:p>
    <w:p>
      <w:pPr>
        <w:pStyle w:val="FirstParagraph"/>
      </w:pPr>
      <w:r>
        <w:t xml:space="preserve">[POR DILIGENCIAR — igual que CS-02:</w:t>
      </w:r>
      <w:r>
        <w:t xml:space="preserve"> </w:t>
      </w:r>
      <w:r>
        <w:t xml:space="preserve">“El servicio puede describir su base de diseño pero no puede afirmar que CALAIRE-EA o la ronda estén acreditados”</w:t>
      </w:r>
      <w:r>
        <w:t xml:space="preserve">.]</w:t>
      </w:r>
    </w:p>
    <w:bookmarkEnd w:id="21"/>
    <w:bookmarkStart w:id="22" w:name="enlacereferencia-a-términos-y-registro"/>
    <w:p>
      <w:pPr>
        <w:pStyle w:val="Heading3"/>
      </w:pPr>
      <w:r>
        <w:t xml:space="preserve">13. Enlace/referencia a términos y registro</w:t>
      </w:r>
    </w:p>
    <w:p>
      <w:pPr>
        <w:pStyle w:val="Compact"/>
        <w:numPr>
          <w:ilvl w:val="0"/>
          <w:numId w:val="1005"/>
        </w:numPr>
      </w:pPr>
      <w:r>
        <w:t xml:space="preserve">Términos y condiciones: [ENLACE a CS-08]</w:t>
      </w:r>
    </w:p>
    <w:p>
      <w:pPr>
        <w:pStyle w:val="Compact"/>
        <w:numPr>
          <w:ilvl w:val="0"/>
          <w:numId w:val="1005"/>
        </w:numPr>
      </w:pPr>
      <w:r>
        <w:t xml:space="preserve">Formulario de inscripción: [ENLACE a CS-07]</w:t>
      </w:r>
    </w:p>
    <w:p>
      <w:pPr>
        <w:pStyle w:val="Compact"/>
        <w:numPr>
          <w:ilvl w:val="0"/>
          <w:numId w:val="1005"/>
        </w:numPr>
      </w:pPr>
      <w:r>
        <w:t xml:space="preserve">Política de privacidad / aviso de protección de datos: [ENLACE]</w:t>
      </w:r>
    </w:p>
    <w:bookmarkEnd w:id="22"/>
    <w:bookmarkStart w:id="23" w:name="X1006785711fa5eb3a9f40e113919d7aee1d3469"/>
    <w:p>
      <w:pPr>
        <w:pStyle w:val="Heading3"/>
      </w:pPr>
      <w:r>
        <w:t xml:space="preserve">14. Método de aceptación y contacto autorizado</w:t>
      </w:r>
    </w:p>
    <w:p>
      <w:pPr>
        <w:pStyle w:val="Compact"/>
        <w:numPr>
          <w:ilvl w:val="0"/>
          <w:numId w:val="1006"/>
        </w:numPr>
      </w:pPr>
      <w:r>
        <w:t xml:space="preserve">Aceptación: cotización firmada por representante autorizado desde correo institucional u orden de compra formal aceptada por la Universidad. Un correo informal no reserva cupo.</w:t>
      </w:r>
    </w:p>
    <w:p>
      <w:pPr>
        <w:pStyle w:val="Compact"/>
        <w:numPr>
          <w:ilvl w:val="0"/>
          <w:numId w:val="1006"/>
        </w:numPr>
      </w:pPr>
      <w:r>
        <w:t xml:space="preserve">Contacto autorizado de CALAIRE-EA: [POR DILIGENCIAR — NOMBRE, CORREO ELECTRÓNICO, TELÉFONO]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Regla de aceptación:</w:t>
      </w:r>
      <w:r>
        <w:t xml:space="preserve"> </w:t>
      </w:r>
      <w:r>
        <w:t xml:space="preserve">“Esta cotización se considera aceptada únicamente cuando CALAIRE-EA recibe una aceptación por escrito del contacto autorizado del cliente, firmada o enviada desde un correo electrónico verificado, antes de la fecha límite de aceptación establecida en la sección 1. El silencio no constituye aceptación.”</w:t>
      </w:r>
    </w:p>
    <w:bookmarkEnd w:id="23"/>
    <w:bookmarkEnd w:id="24"/>
    <w:bookmarkStart w:id="25" w:name="X25b8398cf8df1044c740e7e24d866dc44ef83e1"/>
    <w:p>
      <w:pPr>
        <w:pStyle w:val="Heading2"/>
      </w:pPr>
      <w:r>
        <w:t xml:space="preserve">Variante internacional — campos adicionales</w:t>
      </w:r>
    </w:p>
    <w:p>
      <w:pPr>
        <w:pStyle w:val="FirstParagraph"/>
      </w:pPr>
      <w:r>
        <w:t xml:space="preserve">Solo para la variante de plantilla</w:t>
      </w:r>
      <w:r>
        <w:t xml:space="preserve"> </w:t>
      </w:r>
      <w:r>
        <w:t xml:space="preserve">“Internacional”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País de origen del cliente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Moneda de facturación</w:t>
            </w:r>
          </w:p>
        </w:tc>
        <w:tc>
          <w:tcPr/>
          <w:p>
            <w:pPr>
              <w:pStyle w:val="Compact"/>
            </w:pPr>
            <w:r>
              <w:t xml:space="preserve">[POR DILIGENCIAR — debe ser una de las monedas aprobadas por CS-01]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 de impuestos de importación / IVA</w:t>
            </w:r>
          </w:p>
        </w:tc>
        <w:tc>
          <w:tcPr/>
          <w:p>
            <w:pPr>
              <w:pStyle w:val="Compact"/>
            </w:pPr>
            <w:r>
              <w:t xml:space="preserve">[POR DILIGENCIAR — p. ej.,</w:t>
            </w:r>
            <w:r>
              <w:t xml:space="preserve"> </w:t>
            </w:r>
            <w:r>
              <w:t xml:space="preserve">“IVA exento según el tratado X”</w:t>
            </w:r>
            <w:r>
              <w:t xml:space="preserve">,</w:t>
            </w:r>
            <w:r>
              <w:t xml:space="preserve"> </w:t>
            </w:r>
            <w:r>
              <w:t xml:space="preserve">“retención del Y %”</w:t>
            </w:r>
            <w:r>
              <w:t xml:space="preserve">,</w:t>
            </w:r>
            <w:r>
              <w:t xml:space="preserve"> </w:t>
            </w:r>
            <w:r>
              <w:t xml:space="preserve">“el cliente asume los derechos de importación en el país Z”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Divulgación de conversión de moneda</w:t>
            </w:r>
          </w:p>
        </w:tc>
        <w:tc>
          <w:tcPr/>
          <w:p>
            <w:pPr>
              <w:pStyle w:val="Compact"/>
            </w:pPr>
            <w:r>
              <w:t xml:space="preserve">[POR DILIGENCIAR —</w:t>
            </w:r>
            <w:r>
              <w:t xml:space="preserve"> </w:t>
            </w:r>
            <w:r>
              <w:t xml:space="preserve">“Total expresado en [MONEDA DE FACTURACIÓN] utilizando la tasa de referencia [TASA] de [FECHA]. El cliente asume el riesgo cambiario desde la fecha de aceptación.”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Condiciones de envío (si aplican)</w:t>
            </w:r>
          </w:p>
        </w:tc>
        <w:tc>
          <w:tcPr/>
          <w:p>
            <w:pPr>
              <w:pStyle w:val="Compact"/>
            </w:pPr>
            <w:r>
              <w:t xml:space="preserve">[POR DILIGENCIAR — INCOTERMS]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de transferencia de datos transfronteriza</w:t>
            </w:r>
          </w:p>
        </w:tc>
        <w:tc>
          <w:tcPr/>
          <w:p>
            <w:pPr>
              <w:pStyle w:val="Compact"/>
            </w:pPr>
            <w:r>
              <w:t xml:space="preserve">[POR DILIGENCIAR — por ejemplo,</w:t>
            </w:r>
            <w:r>
              <w:t xml:space="preserve"> </w:t>
            </w:r>
            <w:r>
              <w:t xml:space="preserve">“Los datos de los participantes se almacenan en Colombia y se procesan según la Ley 1581/2012. Al aceptar, el cliente da su consentimiento a la transferencia transfronteriza de los datos del informe.”</w:t>
            </w:r>
            <w:r>
              <w:t xml:space="preserve">]</w:t>
            </w:r>
          </w:p>
        </w:tc>
      </w:tr>
    </w:tbl>
    <w:bookmarkEnd w:id="25"/>
    <w:bookmarkStart w:id="26" w:name="control-de-cotizaciones"/>
    <w:p>
      <w:pPr>
        <w:pStyle w:val="Heading2"/>
      </w:pPr>
      <w:r>
        <w:t xml:space="preserve">Control de cotizaciones</w:t>
      </w:r>
    </w:p>
    <w:p>
      <w:pPr>
        <w:pStyle w:val="Compact"/>
        <w:numPr>
          <w:ilvl w:val="0"/>
          <w:numId w:val="1007"/>
        </w:numPr>
      </w:pPr>
      <w:r>
        <w:t xml:space="preserve">Cada revisión conserva la misma familia de cotizaciones con un número de revisión.</w:t>
      </w:r>
    </w:p>
    <w:p>
      <w:pPr>
        <w:pStyle w:val="Compact"/>
        <w:numPr>
          <w:ilvl w:val="0"/>
          <w:numId w:val="1007"/>
        </w:numPr>
      </w:pPr>
      <w:r>
        <w:t xml:space="preserve">Un cambio en la selección de gas, el recuento del analizador, la identidad del cliente, la ronda o el precio requiere una cotización revisada.</w:t>
      </w:r>
    </w:p>
    <w:p>
      <w:pPr>
        <w:pStyle w:val="Compact"/>
        <w:numPr>
          <w:ilvl w:val="0"/>
          <w:numId w:val="1007"/>
        </w:numPr>
      </w:pPr>
      <w:r>
        <w:t xml:space="preserve">Todas las revisiones se registran en este archivo (o en una extensión controlada por familia de cotizaciones) según las reglas de</w:t>
      </w:r>
      <w:r>
        <w:t xml:space="preserve"> </w:t>
      </w:r>
      <w:r>
        <w:rPr>
          <w:rStyle w:val="VerbatimChar"/>
        </w:rPr>
        <w:t xml:space="preserve">registro_cambios_versiones.md</w:t>
      </w:r>
      <w:r>
        <w:t xml:space="preserve">.</w:t>
      </w:r>
    </w:p>
    <w:bookmarkEnd w:id="26"/>
    <w:bookmarkStart w:id="27" w:name="variantes-de-la-plantilla"/>
    <w:p>
      <w:pPr>
        <w:pStyle w:val="Heading2"/>
      </w:pPr>
      <w:r>
        <w:t xml:space="preserve">Variantes de la plantilla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De uno a cuatro bloques seleccionados</w:t>
            </w:r>
          </w:p>
        </w:tc>
        <w:tc>
          <w:tcPr/>
          <w:p>
            <w:pPr>
              <w:pStyle w:val="Compact"/>
            </w:pPr>
            <w:r>
              <w:t xml:space="preserve">Plantilla predeterminada de tarifa plana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Participación completa</w:t>
            </w:r>
          </w:p>
        </w:tc>
        <w:tc>
          <w:tcPr/>
          <w:p>
            <w:pPr>
              <w:pStyle w:val="Compact"/>
            </w:pPr>
            <w:r>
              <w:t xml:space="preserve">Bloques de CO, SO₂, O₃ y NO/NO₂</w:t>
            </w:r>
          </w:p>
        </w:tc>
        <w:tc>
          <w:tcPr/>
          <w:p>
            <w:pPr>
              <w:pStyle w:val="Compact"/>
            </w:pPr>
            <w:r>
              <w:t xml:space="preserve">Utiliza puntos de referencia planos aprobados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Internacional</w:t>
            </w:r>
          </w:p>
        </w:tc>
        <w:tc>
          <w:tcPr/>
          <w:p>
            <w:pPr>
              <w:pStyle w:val="Compact"/>
            </w:pPr>
            <w:r>
              <w:t xml:space="preserve">Cliente fuera de Colombia</w:t>
            </w:r>
          </w:p>
        </w:tc>
        <w:tc>
          <w:tcPr/>
          <w:p>
            <w:pPr>
              <w:pStyle w:val="Compact"/>
            </w:pPr>
            <w:r>
              <w:t xml:space="preserve">Agrega campos de cambio de divisas, impuestos de importación y transferencia de datos transfronterizos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