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s-07-formulario-de-inscripción-pedido"/>
    <w:p>
      <w:pPr>
        <w:pStyle w:val="Heading1"/>
      </w:pPr>
      <w:r>
        <w:t xml:space="preserve">CS-07 — Formulario de inscripción / pedido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(marca de tiempo/IP/canal agregado, prioridad de la lista de espera, estado de cotización revisado, referencia del código SGC aclarada para datos técnicos)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Captura de comprador, alcance seleccionado y datos administrativos. Reutiliza los campos técnicos de aplicaciones/SGC existentes en lugar de duplicarlos.</w:t>
      </w:r>
    </w:p>
    <w:bookmarkEnd w:id="9"/>
    <w:bookmarkStart w:id="10" w:name="reutilizar-en-lugar-de-duplicar"/>
    <w:p>
      <w:pPr>
        <w:pStyle w:val="Heading2"/>
      </w:pPr>
      <w:r>
        <w:t xml:space="preserve">Reutilizar en lugar de duplicar</w:t>
      </w:r>
    </w:p>
    <w:p>
      <w:pPr>
        <w:pStyle w:val="FirstParagraph"/>
      </w:pPr>
      <w:r>
        <w:t xml:space="preserve">Utilice la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existente y los campos técnicos del SGC para los datos de registro y equipos. Las referencias actuales de los campos del SGC (post-renumeración 2026-06-14) son:</w:t>
      </w:r>
    </w:p>
    <w:p>
      <w:pPr>
        <w:pStyle w:val="Compact"/>
        <w:numPr>
          <w:ilvl w:val="0"/>
          <w:numId w:val="1001"/>
        </w:numPr>
      </w:pPr>
      <w:r>
        <w:t xml:space="preserve">Datos de equipos e instrumentos: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 </w:t>
      </w:r>
      <w:r>
        <w:t xml:space="preserve">(antiguo</w:t>
      </w:r>
      <w:r>
        <w:t xml:space="preserve"> </w:t>
      </w:r>
      <w:r>
        <w:rPr>
          <w:rStyle w:val="VerbatimChar"/>
        </w:rPr>
        <w:t xml:space="preserve">F-PSEA-05A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Registro de participantes:</w:t>
      </w:r>
      <w:r>
        <w:t xml:space="preserve"> </w:t>
      </w:r>
      <w:r>
        <w:rPr>
          <w:rStyle w:val="VerbatimChar"/>
        </w:rPr>
        <w:t xml:space="preserve">F-PSEA-03</w:t>
      </w:r>
      <w:r>
        <w:t xml:space="preserve"> </w:t>
      </w:r>
      <w:r>
        <w:t xml:space="preserve">(antiguo</w:t>
      </w:r>
      <w:r>
        <w:t xml:space="preserve"> </w:t>
      </w:r>
      <w:r>
        <w:rPr>
          <w:rStyle w:val="VerbatimChar"/>
        </w:rPr>
        <w:t xml:space="preserve">F-PSEA-05</w:t>
      </w:r>
      <w:r>
        <w:t xml:space="preserve">)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 </w:t>
      </w:r>
      <w:r>
        <w:t xml:space="preserve">para el mapeo completo.</w:t>
      </w:r>
    </w:p>
    <w:p>
      <w:pPr>
        <w:pStyle w:val="BodyText"/>
      </w:pPr>
      <w:r>
        <w:t xml:space="preserve">Agregue una sección comercial en lugar de crear un segundo sistema de registro técnico.</w:t>
      </w:r>
    </w:p>
    <w:bookmarkEnd w:id="10"/>
    <w:bookmarkStart w:id="11" w:name="campos-comercialeslegales-para-agregar"/>
    <w:p>
      <w:pPr>
        <w:pStyle w:val="Heading2"/>
      </w:pPr>
      <w:r>
        <w:t xml:space="preserve">Campos comerciales/legales para agregar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legal del cliente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Debe coincidir con los registros de impuestos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tributaria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Dirección de facturación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Contacto de facturación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Número de cotización/orden de compra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Enlaces a CS-06 (deben ser válidos, no estar vencidos y no haber sido aceptados por otra parte)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Paquete de gases seleccionado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CO, SO₂, NO, NO₂, O₃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 de analizadores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Idioma del informe solicitado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Derivado de la pregunta 15 del CS-05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Aceptación de los términos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Casilla de verificación / 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Selección de confidencialidad / divulgación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Según</w:t>
            </w:r>
            <w:r>
              <w:t xml:space="preserve"> </w:t>
            </w:r>
            <w:r>
              <w:rPr>
                <w:rStyle w:val="VerbatimChar"/>
              </w:rPr>
              <w:t xml:space="preserve">P-PSEA-19</w:t>
            </w:r>
            <w:r>
              <w:t xml:space="preserve"> </w:t>
            </w:r>
            <w:r>
              <w:t xml:space="preserve">(vigente tras la renumeración)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Consentimiento de marketing del participante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Separado del consentimiento del servicio; Texto de cumplimiento Ley 1581/2012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 contractual autorizado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Contacto técnico autorizado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Documentos especiales de facturación / portal de adquisiciones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 corresponde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Marca de tiempo de aceptación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ISO 8601 con zona horaria; capturado automáticamente por el portal o anotado por el cliente comercial si es en 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 de aceptación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Portal / correo electrónico / PDF firmado / papel; facilita la resolución de controversias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/ origen de la aceptación (si se usa el portal)</w:t>
            </w:r>
          </w:p>
        </w:tc>
        <w:tc>
          <w:tcPr/>
          <w:p>
            <w:pPr>
              <w:pStyle w:val="Compact"/>
            </w:pPr>
            <w:r>
              <w:t xml:space="preserve">Sí (si se usa el portal)</w:t>
            </w:r>
          </w:p>
        </w:tc>
        <w:tc>
          <w:tcPr/>
          <w:p>
            <w:pPr>
              <w:pStyle w:val="Compact"/>
            </w:pPr>
            <w:r>
              <w:t xml:space="preserve">Para auditoría; no se requiere en papel ni por correo electrónico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 en lista de espera</w:t>
            </w:r>
          </w:p>
        </w:tc>
        <w:tc>
          <w:tcPr/>
          <w:p>
            <w:pPr>
              <w:pStyle w:val="Compact"/>
            </w:pPr>
            <w:r>
              <w:t xml:space="preserve">Opcional (completar automáticamente)</w:t>
            </w:r>
          </w:p>
        </w:tc>
        <w:tc>
          <w:tcPr/>
          <w:p>
            <w:pPr>
              <w:pStyle w:val="Compact"/>
            </w:pPr>
            <w:r>
              <w:t xml:space="preserve">Completado por CS-10 si estado = En lista de espera; basado en criterios de prioridad 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Firma/fecha de aceptación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del lado del cliente (puede diferir de la marca de tiempo de aceptación si es postal)</w:t>
            </w:r>
          </w:p>
        </w:tc>
      </w:tr>
    </w:tbl>
    <w:bookmarkEnd w:id="11"/>
    <w:bookmarkStart w:id="12" w:name="lógica-de-estado"/>
    <w:p>
      <w:pPr>
        <w:pStyle w:val="Heading2"/>
      </w:pPr>
      <w:r>
        <w:t xml:space="preserve">Lógica de estado</w:t>
      </w:r>
    </w:p>
    <w:p>
      <w:pPr>
        <w:pStyle w:val="SourceCode"/>
      </w:pPr>
      <w:r>
        <w:rPr>
          <w:rStyle w:val="VerbatimChar"/>
        </w:rPr>
        <w:t xml:space="preserve">Interés → Cotizado → Inscrito → En revisión →</w:t>
      </w:r>
      <w:r>
        <w:br/>
      </w:r>
      <w:r>
        <w:rPr>
          <w:rStyle w:val="VerbatimChar"/>
        </w:rPr>
        <w:t xml:space="preserve">Aceptado, pendiente de pago/orden de compra → Confirmado → En lista de espera / Rechazado / Retirado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└──→ Revisión de cotización en curso (transitorio)</w:t>
      </w:r>
      <w:r>
        <w:br/>
      </w:r>
      <w:r>
        <w:rPr>
          <w:rStyle w:val="VerbatimChar"/>
        </w:rPr>
        <w:t xml:space="preserve">                  → volver a Cotizado con el número de cotización revisada</w:t>
      </w:r>
    </w:p>
    <w:p>
      <w:pPr>
        <w:pStyle w:val="FirstParagraph"/>
      </w:pPr>
      <w:r>
        <w:rPr>
          <w:b/>
          <w:bCs/>
        </w:rPr>
        <w:t xml:space="preserve">Sucursal:</w:t>
      </w:r>
      <w:r>
        <w:t xml:space="preserve"> </w:t>
      </w:r>
      <w:r>
        <w:t xml:space="preserve">cuando un cliente acepta una cotización que requiere revisión (por ejemplo, la capacidad de la ronda cambió, el cliente desea agregar gas, el precio debe volver a cotizarse), el registro pasa a</w:t>
      </w:r>
      <w:r>
        <w:t xml:space="preserve"> </w:t>
      </w:r>
      <w:r>
        <w:t xml:space="preserve">“Cotización-revisión en curso”</w:t>
      </w:r>
      <w:r>
        <w:t xml:space="preserve"> </w:t>
      </w:r>
      <w:r>
        <w:t xml:space="preserve">antes de regresar a</w:t>
      </w:r>
      <w:r>
        <w:t xml:space="preserve"> </w:t>
      </w:r>
      <w:r>
        <w:t xml:space="preserve">“Cotizada”</w:t>
      </w:r>
      <w:r>
        <w:t xml:space="preserve"> </w:t>
      </w:r>
      <w:r>
        <w:t xml:space="preserve">con un nuevo número de cotización. La familia de cotizaciones original se registra como</w:t>
      </w:r>
      <w:r>
        <w:t xml:space="preserve"> </w:t>
      </w:r>
      <w:r>
        <w:t xml:space="preserve">“reemplazada”</w:t>
      </w:r>
      <w:r>
        <w:t xml:space="preserve"> </w:t>
      </w:r>
      <w:r>
        <w:t xml:space="preserve">y se abre un registro CS-12.</w:t>
      </w:r>
    </w:p>
    <w:p>
      <w:pPr>
        <w:pStyle w:val="BodyText"/>
      </w:pPr>
      <w:r>
        <w:t xml:space="preserve">Solo los participantes</w:t>
      </w:r>
      <w:r>
        <w:t xml:space="preserve"> </w:t>
      </w:r>
      <w:r>
        <w:rPr>
          <w:b/>
          <w:bCs/>
        </w:rPr>
        <w:t xml:space="preserve">“confirmados”</w:t>
      </w:r>
      <w:r>
        <w:t xml:space="preserve"> </w:t>
      </w:r>
      <w:r>
        <w:t xml:space="preserve">pasan a la planificación formal de la ronda.</w:t>
      </w:r>
    </w:p>
    <w:bookmarkEnd w:id="12"/>
    <w:bookmarkStart w:id="13" w:name="lista-de-verificación-de-la-inscripción"/>
    <w:p>
      <w:pPr>
        <w:pStyle w:val="Heading2"/>
      </w:pPr>
      <w:r>
        <w:t xml:space="preserve">Lista de verificación de la inscripción</w:t>
      </w:r>
    </w:p>
    <w:p>
      <w:pPr>
        <w:pStyle w:val="Compact"/>
        <w:numPr>
          <w:ilvl w:val="0"/>
          <w:numId w:val="1002"/>
        </w:numPr>
      </w:pPr>
      <w:r>
        <w:t xml:space="preserve">[] Campos técnicos completados (a través 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y los campos SGC mencionados anteriormente).</w:t>
      </w:r>
    </w:p>
    <w:p>
      <w:pPr>
        <w:pStyle w:val="Compact"/>
        <w:numPr>
          <w:ilvl w:val="0"/>
          <w:numId w:val="1002"/>
        </w:numPr>
      </w:pPr>
      <w:r>
        <w:t xml:space="preserve">☐ Campos comerciales completados.</w:t>
      </w:r>
    </w:p>
    <w:p>
      <w:pPr>
        <w:pStyle w:val="Compact"/>
        <w:numPr>
          <w:ilvl w:val="0"/>
          <w:numId w:val="1002"/>
        </w:numPr>
      </w:pPr>
      <w:r>
        <w:t xml:space="preserve">☐ Términos aceptados.</w:t>
      </w:r>
    </w:p>
    <w:p>
      <w:pPr>
        <w:pStyle w:val="Compact"/>
        <w:numPr>
          <w:ilvl w:val="0"/>
          <w:numId w:val="1002"/>
        </w:numPr>
      </w:pPr>
      <w:r>
        <w:t xml:space="preserve">☐ Consentimiento de divulgación registrado.</w:t>
      </w:r>
    </w:p>
    <w:p>
      <w:pPr>
        <w:pStyle w:val="Compact"/>
        <w:numPr>
          <w:ilvl w:val="0"/>
          <w:numId w:val="1002"/>
        </w:numPr>
      </w:pPr>
      <w:r>
        <w:t xml:space="preserve">☐ Consentimiento de comercialización registrado por separado con texto explícito de la Ley 1581.</w:t>
      </w:r>
    </w:p>
    <w:p>
      <w:pPr>
        <w:pStyle w:val="Compact"/>
        <w:numPr>
          <w:ilvl w:val="0"/>
          <w:numId w:val="1002"/>
        </w:numPr>
      </w:pPr>
      <w:r>
        <w:t xml:space="preserve">☐ Número de cotización válido y que coincide con la selección (y que aún no ha sido aceptado por otra parte).</w:t>
      </w:r>
    </w:p>
    <w:p>
      <w:pPr>
        <w:pStyle w:val="Compact"/>
        <w:numPr>
          <w:ilvl w:val="0"/>
          <w:numId w:val="1002"/>
        </w:numPr>
      </w:pPr>
      <w:r>
        <w:t xml:space="preserve">☐ Marca de tiempo / canal de aceptación registrados.</w:t>
      </w:r>
    </w:p>
    <w:p>
      <w:pPr>
        <w:pStyle w:val="Compact"/>
        <w:numPr>
          <w:ilvl w:val="0"/>
          <w:numId w:val="1002"/>
        </w:numPr>
      </w:pPr>
      <w:r>
        <w:t xml:space="preserve">☐ Se inició la revisión del contrato (CS-09).</w:t>
      </w:r>
    </w:p>
    <w:p>
      <w:pPr>
        <w:pStyle w:val="Compact"/>
        <w:numPr>
          <w:ilvl w:val="0"/>
          <w:numId w:val="1002"/>
        </w:numPr>
      </w:pPr>
      <w:r>
        <w:t xml:space="preserve">☐ Si estado = En lista de espera, se registra la prioridad de la lista de espera (CS-10) y se notifica al cliente.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2026-07-16T14:37:58Z</dcterms:created>
  <dcterms:modified xsi:type="dcterms:W3CDTF">2026-07-16T14:37:58Z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