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ad8125efdb0463854a39dda0156cc2d1eaeff8e"/>
    <w:p>
      <w:pPr>
        <w:pStyle w:val="Heading1"/>
      </w:pPr>
      <w:r>
        <w:t xml:space="preserve">CS-08 — Términos y condiciones / Acuerdo de participante</w:t>
      </w:r>
    </w:p>
    <w:p>
      <w:pPr>
        <w:pStyle w:val="FirstParagraph"/>
      </w:pPr>
      <w:r>
        <w:rPr>
          <w:b/>
          <w:bCs/>
        </w:rPr>
        <w:t xml:space="preserve">Propietario:</w:t>
      </w:r>
      <w:r>
        <w:t xml:space="preserve"> </w:t>
      </w:r>
      <w:r>
        <w:t xml:space="preserve">Profesional de proyectos</w:t>
      </w:r>
      <w:r>
        <w:t xml:space="preserve"> </w:t>
      </w:r>
      <w:r>
        <w:rPr>
          <w:b/>
          <w:bCs/>
        </w:rPr>
        <w:t xml:space="preserve">Última revisión:</w:t>
      </w:r>
      <w:r>
        <w:t xml:space="preserve"> </w:t>
      </w:r>
      <w:r>
        <w:t xml:space="preserve">2026-07-14 (se agregaron la cláusula de protección de datos, la resolución de controversias, los compromisos de tiempo de respuesta y la referencia I-PSEA-01; se actualizaron las referencias de códigos del SGC)</w:t>
      </w:r>
      <w:r>
        <w:t xml:space="preserve"> </w:t>
      </w:r>
      <w:r>
        <w:rPr>
          <w:b/>
          <w:bCs/>
        </w:rPr>
        <w:t xml:space="preserve">Referencia de códigos del SGC:</w:t>
      </w:r>
      <w:r>
        <w:t xml:space="preserve"> </w:t>
      </w:r>
      <w:r>
        <w:t xml:space="preserve">ver</w:t>
      </w:r>
      <w:r>
        <w:t xml:space="preserve"> </w:t>
      </w:r>
      <w:r>
        <w:rPr>
          <w:rStyle w:val="VerbatimChar"/>
        </w:rPr>
        <w:t xml:space="preserve">00_control/equivalencia_codigos_sgc.md</w:t>
      </w:r>
      <w:r>
        <w:t xml:space="preserve">. Las referencias a</w:t>
      </w:r>
      <w:r>
        <w:t xml:space="preserve"> </w:t>
      </w:r>
      <w:r>
        <w:rPr>
          <w:rStyle w:val="VerbatimChar"/>
        </w:rPr>
        <w:t xml:space="preserve">P-PSEA-17</w:t>
      </w:r>
      <w:r>
        <w:t xml:space="preserve">,</w:t>
      </w:r>
      <w:r>
        <w:t xml:space="preserve"> </w:t>
      </w:r>
      <w:r>
        <w:rPr>
          <w:rStyle w:val="VerbatimChar"/>
        </w:rPr>
        <w:t xml:space="preserve">P-PSEA-18</w:t>
      </w:r>
      <w:r>
        <w:t xml:space="preserve">,</w:t>
      </w:r>
      <w:r>
        <w:t xml:space="preserve"> </w:t>
      </w:r>
      <w:r>
        <w:rPr>
          <w:rStyle w:val="VerbatimChar"/>
        </w:rPr>
        <w:t xml:space="preserve">P-PSEA-19</w:t>
      </w:r>
      <w:r>
        <w:t xml:space="preserve"> </w:t>
      </w:r>
      <w:r>
        <w:t xml:space="preserve">apuntan a los significados vigentes tras la renumeración del 2026-06-14.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Establecer condiciones de servicio vinculantes.</w:t>
      </w:r>
    </w:p>
    <w:bookmarkEnd w:id="9"/>
    <w:bookmarkStart w:id="10" w:name="importante"/>
    <w:p>
      <w:pPr>
        <w:pStyle w:val="Heading2"/>
      </w:pPr>
      <w:r>
        <w:t xml:space="preserve">Importante</w:t>
      </w:r>
    </w:p>
    <w:p>
      <w:pPr>
        <w:pStyle w:val="FirstParagraph"/>
      </w:pPr>
      <w:r>
        <w:t xml:space="preserve">Las cláusulas vinculantes deberán ser aprobadas por la asesoría jurídica o la función de contratación autorizada de la Universidad. Este documento define el contenido, no la redacción legal.</w:t>
      </w:r>
    </w:p>
    <w:bookmarkEnd w:id="10"/>
    <w:bookmarkStart w:id="30" w:name="cláusulas-mínimas"/>
    <w:p>
      <w:pPr>
        <w:pStyle w:val="Heading2"/>
      </w:pPr>
      <w:r>
        <w:t xml:space="preserve">Cláusulas mínimas</w:t>
      </w:r>
    </w:p>
    <w:bookmarkStart w:id="11" w:name="fiestas-y-descripción-del-servicio."/>
    <w:p>
      <w:pPr>
        <w:pStyle w:val="Heading3"/>
      </w:pPr>
      <w:r>
        <w:t xml:space="preserve">1. Fiestas y descripción del servicio.</w:t>
      </w:r>
    </w:p>
    <w:p>
      <w:pPr>
        <w:pStyle w:val="FirstParagraph"/>
      </w:pPr>
      <w:r>
        <w:t xml:space="preserve">El proveedor jurídico es la Universidad Nacional de Colombia, NIT</w:t>
      </w:r>
      <w:r>
        <w:t xml:space="preserve"> </w:t>
      </w:r>
      <w:r>
        <w:t xml:space="preserve">899.999.063-3, Sede Medellín. La Facultad de Minas, Laboratorio CALAIRE, ejecuta</w:t>
      </w:r>
      <w:r>
        <w:t xml:space="preserve"> </w:t>
      </w:r>
      <w:r>
        <w:t xml:space="preserve">el servicio Ensayos de Aptitud para Gases Contaminantes Criterio. La contraparte</w:t>
      </w:r>
      <w:r>
        <w:t xml:space="preserve"> </w:t>
      </w:r>
      <w:r>
        <w:t xml:space="preserve">participante será la organización identificada en la cotización y el registro</w:t>
      </w:r>
      <w:r>
        <w:t xml:space="preserve"> </w:t>
      </w:r>
      <w:r>
        <w:t xml:space="preserve">aceptados.</w:t>
      </w:r>
    </w:p>
    <w:bookmarkEnd w:id="11"/>
    <w:bookmarkStart w:id="12" w:name="X3b82bb95829a8999fd648470a78a04c772dc48c"/>
    <w:p>
      <w:pPr>
        <w:pStyle w:val="Heading3"/>
      </w:pPr>
      <w:r>
        <w:t xml:space="preserve">2. Alcance seleccionado e incorporación técnico-SGC por referencia</w:t>
      </w:r>
    </w:p>
    <w:p>
      <w:pPr>
        <w:pStyle w:val="FirstParagraph"/>
      </w:pPr>
      <w:r>
        <w:t xml:space="preserve">La cotización identifica uno o más bloques entre CO, SO₂, O₃ y NO/NO₂. La</w:t>
      </w:r>
      <w:r>
        <w:t xml:space="preserve"> </w:t>
      </w:r>
      <w:r>
        <w:t xml:space="preserve">ejecución técnica, evaluación estadística, controles aplicables y emisión de</w:t>
      </w:r>
      <w:r>
        <w:t xml:space="preserve"> </w:t>
      </w:r>
      <w:r>
        <w:t xml:space="preserve">informes se rigen por los documentos PSEA vigentes y aprobados en</w:t>
      </w:r>
      <w:r>
        <w:t xml:space="preserve"> </w:t>
      </w:r>
      <w:r>
        <w:rPr>
          <w:rStyle w:val="VerbatimChar"/>
        </w:rPr>
        <w:t xml:space="preserve">docs/qms/</w:t>
      </w:r>
      <w:r>
        <w:t xml:space="preserve">.</w:t>
      </w:r>
      <w:r>
        <w:t xml:space="preserve"> </w:t>
      </w:r>
      <w:r>
        <w:t xml:space="preserve">Estas condiciones comerciales los complementan y no los sustituyen.</w:t>
      </w:r>
    </w:p>
    <w:bookmarkEnd w:id="12"/>
    <w:bookmarkStart w:id="13" w:name="Xb33cd6d37f81b2ddc8e5ecc2bac96edc7d35d19"/>
    <w:p>
      <w:pPr>
        <w:pStyle w:val="Heading3"/>
      </w:pPr>
      <w:r>
        <w:t xml:space="preserve">3. Responsabilidades del proveedor y del participante</w:t>
      </w:r>
    </w:p>
    <w:p>
      <w:pPr>
        <w:pStyle w:val="FirstParagraph"/>
      </w:pPr>
      <w:r>
        <w:t xml:space="preserve">CALAIRE-EA coordina la ronda, dispone la instalación y el sistema de generación,</w:t>
      </w:r>
      <w:r>
        <w:t xml:space="preserve"> </w:t>
      </w:r>
      <w:r>
        <w:t xml:space="preserve">administra y evalúa los datos y emite el informe y la constancia. El participante</w:t>
      </w:r>
      <w:r>
        <w:t xml:space="preserve"> </w:t>
      </w:r>
      <w:r>
        <w:t xml:space="preserve">debe registrar información veraz, transportar y asegurar sus equipos, llevarlos</w:t>
      </w:r>
      <w:r>
        <w:t xml:space="preserve"> </w:t>
      </w:r>
      <w:r>
        <w:t xml:space="preserve">calibrados y aptos, cumplir instrucciones y seguridad y reportar sus propios</w:t>
      </w:r>
      <w:r>
        <w:t xml:space="preserve"> </w:t>
      </w:r>
      <w:r>
        <w:t xml:space="preserve">resultados dentro del plazo.</w:t>
      </w:r>
    </w:p>
    <w:bookmarkEnd w:id="13"/>
    <w:bookmarkStart w:id="14" w:name="X7ce249bc92bf410afed19abe1d0658f18a86801"/>
    <w:p>
      <w:pPr>
        <w:pStyle w:val="Heading3"/>
      </w:pPr>
      <w:r>
        <w:t xml:space="preserve">4. Transporte, custodia, instalación y riesgo de equipos</w:t>
      </w:r>
    </w:p>
    <w:p>
      <w:pPr>
        <w:pStyle w:val="FirstParagraph"/>
      </w:pPr>
      <w:r>
        <w:t xml:space="preserve">Referencia: el empaquetado y transporte de los equipos del participante se realiza conforme a</w:t>
      </w:r>
      <w:r>
        <w:t xml:space="preserve"> </w:t>
      </w:r>
      <w:r>
        <w:rPr>
          <w:rStyle w:val="VerbatimChar"/>
        </w:rPr>
        <w:t xml:space="preserve">I-PSEA-01</w:t>
      </w:r>
      <w:r>
        <w:t xml:space="preserve"> </w:t>
      </w:r>
      <w:r>
        <w:t xml:space="preserve">(Embalaje y transporte de equipos de participantes), versión vigente al momento de la aceptación. Sin este instructivo, la cláusula 4 no puede firmarse.</w:t>
      </w:r>
    </w:p>
    <w:p>
      <w:pPr>
        <w:pStyle w:val="BodyText"/>
      </w:pPr>
      <w:r>
        <w:t xml:space="preserve">[POR DILIGENCIAR — transferencia de riesgo, seguro y responsabilidad por daños]</w:t>
      </w:r>
    </w:p>
    <w:bookmarkEnd w:id="14"/>
    <w:bookmarkStart w:id="15" w:name="Xbd0f7d886ce181ac16c30ecdb7c1f0d1c983fcf"/>
    <w:p>
      <w:pPr>
        <w:pStyle w:val="Heading3"/>
      </w:pPr>
      <w:r>
        <w:t xml:space="preserve">5. Preparación de los participantes y consecuencias de una falla del instrumento</w:t>
      </w:r>
    </w:p>
    <w:p>
      <w:pPr>
        <w:pStyle w:val="FirstParagraph"/>
      </w:pPr>
      <w:r>
        <w:t xml:space="preserve">Si un analizador no supera la revisión previa o no puede operar al inicio, el</w:t>
      </w:r>
      <w:r>
        <w:t xml:space="preserve"> </w:t>
      </w:r>
      <w:r>
        <w:t xml:space="preserve">participante puede reemplazarlo por otro compatible que supere una nueva</w:t>
      </w:r>
      <w:r>
        <w:t xml:space="preserve"> </w:t>
      </w:r>
      <w:r>
        <w:t xml:space="preserve">revisión técnica, utilizar un cupo residual con otro analizador registrado,</w:t>
      </w:r>
      <w:r>
        <w:t xml:space="preserve"> </w:t>
      </w:r>
      <w:r>
        <w:t xml:space="preserve">solicitar la única reprogramación permitida o retirarse conforme a CS-01</w:t>
      </w:r>
      <w:r>
        <w:t xml:space="preserve"> </w:t>
      </w:r>
      <w:r>
        <w:t xml:space="preserve">sección 8. CALAIRE-EA no asume reparación, calibración ni repetición gratuita</w:t>
      </w:r>
      <w:r>
        <w:t xml:space="preserve"> </w:t>
      </w:r>
      <w:r>
        <w:t xml:space="preserve">por fallas atribuibles al participante o a su equipo.</w:t>
      </w:r>
    </w:p>
    <w:bookmarkEnd w:id="15"/>
    <w:bookmarkStart w:id="16" w:name="X84ce0f8af4ffa66c2f79f9259e080b49115f4a0"/>
    <w:p>
      <w:pPr>
        <w:pStyle w:val="Heading3"/>
      </w:pPr>
      <w:r>
        <w:t xml:space="preserve">6. Precio, impuestos, condiciones de pago y orden de compra</w:t>
      </w:r>
    </w:p>
    <w:p>
      <w:pPr>
        <w:pStyle w:val="FirstParagraph"/>
      </w:pPr>
      <w:r>
        <w:t xml:space="preserve">[POR DILIGENCIAR — precio, impuestos, condiciones de pago y orden de compra]</w:t>
      </w:r>
    </w:p>
    <w:bookmarkEnd w:id="16"/>
    <w:bookmarkStart w:id="17" w:name="X5e44ae1686ccb5e9a5a4a963e1c0201c276c115"/>
    <w:p>
      <w:pPr>
        <w:pStyle w:val="Heading3"/>
      </w:pPr>
      <w:r>
        <w:t xml:space="preserve">7. Inscripción mínima, aplazamiento y cancelación de proveedor</w:t>
      </w:r>
    </w:p>
    <w:p>
      <w:pPr>
        <w:pStyle w:val="FirstParagraph"/>
      </w:pPr>
      <w:r>
        <w:t xml:space="preserve">[POR DILIGENCIAR — aplazamiento o cancelación por el proveedor; condiciones de reembolso o crédito]</w:t>
      </w:r>
    </w:p>
    <w:bookmarkEnd w:id="17"/>
    <w:bookmarkStart w:id="18" w:name="X1242f9efe44b351066f46d3ef36dea3aa2f2688"/>
    <w:p>
      <w:pPr>
        <w:pStyle w:val="Heading3"/>
      </w:pPr>
      <w:r>
        <w:t xml:space="preserve">8. Gastos de baja, sustitución y cancelación de participantes</w:t>
      </w:r>
    </w:p>
    <w:p>
      <w:pPr>
        <w:pStyle w:val="FirstParagraph"/>
      </w:pPr>
      <w:r>
        <w:t xml:space="preserve">[POR DILIGENCIAR — plazos y tarifas de retiro; reglas de sustitución]</w:t>
      </w:r>
    </w:p>
    <w:bookmarkEnd w:id="18"/>
    <w:bookmarkStart w:id="19" w:name="X9dd215d3ab65164dce1965af5b299f88fc3fcce"/>
    <w:p>
      <w:pPr>
        <w:pStyle w:val="Heading3"/>
      </w:pPr>
      <w:r>
        <w:t xml:space="preserve">9. Plazos, correcciones de resultados y envíos tardíos</w:t>
      </w:r>
    </w:p>
    <w:p>
      <w:pPr>
        <w:pStyle w:val="FirstParagraph"/>
      </w:pPr>
      <w:r>
        <w:t xml:space="preserve">Las fechas de entrega se fijan en el cronograma controlado de cada ronda. Un</w:t>
      </w:r>
      <w:r>
        <w:t xml:space="preserve"> </w:t>
      </w:r>
      <w:r>
        <w:t xml:space="preserve">resultado recibido después de la fecha oficial no entra al cálculo del valor</w:t>
      </w:r>
      <w:r>
        <w:t xml:space="preserve"> </w:t>
      </w:r>
      <w:r>
        <w:t xml:space="preserve">asignado ni a la estadística grupal. Puede evaluarse individualmente solo si es</w:t>
      </w:r>
      <w:r>
        <w:t xml:space="preserve"> </w:t>
      </w:r>
      <w:r>
        <w:t xml:space="preserve">técnicamente viable y no retrasa el informe; debe quedar identificado como</w:t>
      </w:r>
      <w:r>
        <w:t xml:space="preserve"> </w:t>
      </w:r>
      <w:r>
        <w:t xml:space="preserve">tardío en los registros y en el informe del participante. La entrega tardía no</w:t>
      </w:r>
      <w:r>
        <w:t xml:space="preserve"> </w:t>
      </w:r>
      <w:r>
        <w:t xml:space="preserve">genera repetición gratuita de la ronda. Las correcciones de identificación o</w:t>
      </w:r>
      <w:r>
        <w:t xml:space="preserve"> </w:t>
      </w:r>
      <w:r>
        <w:t xml:space="preserve">transcripción durante la revisión del borrador se gestionan conforme a la</w:t>
      </w:r>
      <w:r>
        <w:t xml:space="preserve"> </w:t>
      </w:r>
      <w:r>
        <w:t xml:space="preserve">sección 14.</w:t>
      </w:r>
    </w:p>
    <w:bookmarkEnd w:id="19"/>
    <w:bookmarkStart w:id="20" w:name="Xe1d14c5a052e2a0f853b01e6cdcea6d0fe03960"/>
    <w:p>
      <w:pPr>
        <w:pStyle w:val="Heading3"/>
      </w:pPr>
      <w:r>
        <w:t xml:space="preserve">10. Consentimiento de confidencialidad, codificación y divulgación</w:t>
      </w:r>
    </w:p>
    <w:p>
      <w:pPr>
        <w:pStyle w:val="FirstParagraph"/>
      </w:pPr>
      <w:r>
        <w:t xml:space="preserve">La opción predeterminada es confidencialidad total mediante código de</w:t>
      </w:r>
      <w:r>
        <w:t xml:space="preserve"> </w:t>
      </w:r>
      <w:r>
        <w:t xml:space="preserve">participante, conforme a</w:t>
      </w:r>
      <w:r>
        <w:t xml:space="preserve"> </w:t>
      </w:r>
      <w:r>
        <w:rPr>
          <w:rStyle w:val="VerbatimChar"/>
        </w:rPr>
        <w:t xml:space="preserve">P-PSEA-19</w:t>
      </w:r>
      <w:r>
        <w:t xml:space="preserve">. La identidad o los resultados solo pueden</w:t>
      </w:r>
      <w:r>
        <w:t xml:space="preserve"> </w:t>
      </w:r>
      <w:r>
        <w:t xml:space="preserve">divulgarse con autorización previa, expresa y separada, que identifique la</w:t>
      </w:r>
      <w:r>
        <w:t xml:space="preserve"> </w:t>
      </w:r>
      <w:r>
        <w:t xml:space="preserve">finalidad, la información y el destinatario. El participante puede revocar el</w:t>
      </w:r>
      <w:r>
        <w:t xml:space="preserve"> </w:t>
      </w:r>
      <w:r>
        <w:t xml:space="preserve">consentimiento hacia futuro por escrito; la revocación no deshace divulgaciones</w:t>
      </w:r>
      <w:r>
        <w:t xml:space="preserve"> </w:t>
      </w:r>
      <w:r>
        <w:t xml:space="preserve">ya realizadas legítimamente antes de su recepción.</w:t>
      </w:r>
    </w:p>
    <w:bookmarkEnd w:id="20"/>
    <w:bookmarkStart w:id="21" w:name="X345e96b98af108bf918d1b71c0c5df39d91c48d"/>
    <w:p>
      <w:pPr>
        <w:pStyle w:val="Heading3"/>
      </w:pPr>
      <w:r>
        <w:t xml:space="preserve">11. Anticolusión y presentación de informes veraces</w:t>
      </w:r>
    </w:p>
    <w:p>
      <w:pPr>
        <w:pStyle w:val="FirstParagraph"/>
      </w:pPr>
      <w:r>
        <w:t xml:space="preserve">Cada participante debe producir y reportar sus propios resultados. Se prohíbe</w:t>
      </w:r>
      <w:r>
        <w:t xml:space="preserve"> </w:t>
      </w:r>
      <w:r>
        <w:t xml:space="preserve">intercambiar resultados antes del cierre, coordinar respuestas, manipular datos</w:t>
      </w:r>
      <w:r>
        <w:t xml:space="preserve"> </w:t>
      </w:r>
      <w:r>
        <w:t xml:space="preserve">o presentar información falsa. Los indicios se registran e investigan conforme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P-PSEA-14</w:t>
      </w:r>
      <w:r>
        <w:t xml:space="preserve">; cualquier decisión debe respetar imparcialidad, confidencialidad</w:t>
      </w:r>
      <w:r>
        <w:t xml:space="preserve"> </w:t>
      </w:r>
      <w:r>
        <w:t xml:space="preserve">y el tratamiento de trabajo no conforme aplicable.</w:t>
      </w:r>
    </w:p>
    <w:bookmarkEnd w:id="21"/>
    <w:bookmarkStart w:id="22" w:name="regla-de-valor-asignado"/>
    <w:p>
      <w:pPr>
        <w:pStyle w:val="Heading3"/>
      </w:pPr>
      <w:r>
        <w:t xml:space="preserve">12. Regla de valor asignado</w:t>
      </w:r>
    </w:p>
    <w:p>
      <w:pPr>
        <w:pStyle w:val="BlockText"/>
      </w:pPr>
      <w:r>
        <w:t xml:space="preserve">Menos de 12 resultados técnicamente válidos: valor de referencia CALAIRE-EA.</w:t>
      </w:r>
      <w:r>
        <w:t xml:space="preserve"> </w:t>
      </w:r>
      <w:r>
        <w:t xml:space="preserve">Doce o más resultados técnicamente válidos: consenso sólido de los participantes.</w:t>
      </w:r>
    </w:p>
    <w:bookmarkEnd w:id="22"/>
    <w:bookmarkStart w:id="23" w:name="Xbe3e17daaad982709e20a58677845ca0a8c09f9"/>
    <w:p>
      <w:pPr>
        <w:pStyle w:val="Heading3"/>
      </w:pPr>
      <w:r>
        <w:t xml:space="preserve">13. Indicadores de evaluación y ausencia de calificación agregada</w:t>
      </w:r>
    </w:p>
    <w:p>
      <w:pPr>
        <w:pStyle w:val="BlockText"/>
      </w:pPr>
      <w:r>
        <w:t xml:space="preserve">La evaluación utiliza z o z′, siendo ζ y En donde se puede utilizar la información sobre la incertidumbre.</w:t>
      </w:r>
      <w:r>
        <w:t xml:space="preserve"> </w:t>
      </w:r>
      <w:r>
        <w:t xml:space="preserve">No hay calificación agregada ni calificación general de aprobado/reprobado.</w:t>
      </w:r>
    </w:p>
    <w:bookmarkEnd w:id="23"/>
    <w:bookmarkStart w:id="24" w:name="Xaa4208a017945b53f02082684b69a7901a30448"/>
    <w:p>
      <w:pPr>
        <w:pStyle w:val="Heading3"/>
      </w:pPr>
      <w:r>
        <w:t xml:space="preserve">14. Revisión de borradores, quejas y apelaciones</w:t>
      </w:r>
    </w:p>
    <w:p>
      <w:pPr>
        <w:pStyle w:val="FirstParagraph"/>
      </w:pPr>
      <w:r>
        <w:t xml:space="preserve">El informe borrador se entrega con una ventana de revisión de 14 días</w:t>
      </w:r>
      <w:r>
        <w:t xml:space="preserve"> </w:t>
      </w:r>
      <w:r>
        <w:t xml:space="preserve">calendario. Dentro de ese plazo el participante puede solicitar correcciones de</w:t>
      </w:r>
      <w:r>
        <w:t xml:space="preserve"> </w:t>
      </w:r>
      <w:r>
        <w:t xml:space="preserve">transcripción o identificación, formular observaciones técnicas o presentar una</w:t>
      </w:r>
      <w:r>
        <w:t xml:space="preserve"> </w:t>
      </w:r>
      <w:r>
        <w:t xml:space="preserve">apelación formal conforme a</w:t>
      </w:r>
      <w:r>
        <w:t xml:space="preserve"> </w:t>
      </w:r>
      <w:r>
        <w:rPr>
          <w:rStyle w:val="VerbatimChar"/>
        </w:rPr>
        <w:t xml:space="preserve">P-PSEA-18</w:t>
      </w:r>
      <w:r>
        <w:t xml:space="preserve">. Vencido el plazo se emite el informe</w:t>
      </w:r>
      <w:r>
        <w:t xml:space="preserve"> </w:t>
      </w:r>
      <w:r>
        <w:t xml:space="preserve">final. Una corrección posterior solo procede como enmienda controlada cuando se</w:t>
      </w:r>
      <w:r>
        <w:t xml:space="preserve"> </w:t>
      </w:r>
      <w:r>
        <w:t xml:space="preserve">compruebe un error sustantivo. Las quejas se tramitan conforme a</w:t>
      </w:r>
      <w:r>
        <w:t xml:space="preserve"> </w:t>
      </w:r>
      <w:r>
        <w:rPr>
          <w:rStyle w:val="VerbatimChar"/>
        </w:rPr>
        <w:t xml:space="preserve">P-PSEA-17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Compromisos de tiempo de respuesta</w:t>
      </w:r>
      <w:r>
        <w:t xml:space="preserve"> </w:t>
      </w:r>
      <w:r>
        <w:t xml:space="preserve">(se deben documentar en CS-01 y referenciar aquí):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Acuse de recibo de queja / apelación</w:t>
            </w:r>
          </w:p>
        </w:tc>
        <w:tc>
          <w:tcPr/>
          <w:p>
            <w:pPr>
              <w:pStyle w:val="Compact"/>
            </w:pPr>
            <w:r>
              <w:t xml:space="preserve">5 días hábiles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Resolución de queja</w:t>
            </w:r>
          </w:p>
        </w:tc>
        <w:tc>
          <w:tcPr/>
          <w:p>
            <w:pPr>
              <w:pStyle w:val="Compact"/>
            </w:pPr>
            <w:r>
              <w:t xml:space="preserve">30 días calendario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Resolución de apelación (compleja)</w:t>
            </w:r>
          </w:p>
        </w:tc>
        <w:tc>
          <w:tcPr/>
          <w:p>
            <w:pPr>
              <w:pStyle w:val="Compact"/>
            </w:pPr>
            <w:r>
              <w:t xml:space="preserve">60 días calendario</w:t>
            </w:r>
          </w:p>
        </w:tc>
      </w:tr>
    </w:tbl>
    <w:p>
      <w:pPr>
        <w:pStyle w:val="BodyText"/>
      </w:pPr>
      <w:r>
        <w:t xml:space="preserve">Si un plazo no puede cumplirse, CALAIRE-EA debe informar antes de su</w:t>
      </w:r>
      <w:r>
        <w:t xml:space="preserve"> </w:t>
      </w:r>
      <w:r>
        <w:t xml:space="preserve">vencimiento la causa, el estado del caso y la nueva fecha prevista de respuesta.</w:t>
      </w:r>
    </w:p>
    <w:bookmarkEnd w:id="24"/>
    <w:bookmarkStart w:id="25" w:name="X1134cf8c436736669db05d753de3d0bddb2375c"/>
    <w:p>
      <w:pPr>
        <w:pStyle w:val="Heading3"/>
      </w:pPr>
      <w:r>
        <w:t xml:space="preserve">15. Informes de modificación e informes reemplazados</w:t>
      </w:r>
    </w:p>
    <w:p>
      <w:pPr>
        <w:pStyle w:val="FirstParagraph"/>
      </w:pPr>
      <w:r>
        <w:t xml:space="preserve">[POR DILIGENCIAR — condiciones de enmienda y marcación de informes reemplazados]</w:t>
      </w:r>
    </w:p>
    <w:bookmarkEnd w:id="25"/>
    <w:bookmarkStart w:id="26" w:name="Xbd76570c831995d414f97dbc2cffeb485df0422"/>
    <w:p>
      <w:pPr>
        <w:pStyle w:val="Heading3"/>
      </w:pPr>
      <w:r>
        <w:t xml:space="preserve">16. Uso permitido de informes y prohibición de afirmaciones engañosas</w:t>
      </w:r>
    </w:p>
    <w:p>
      <w:pPr>
        <w:pStyle w:val="FirstParagraph"/>
      </w:pPr>
      <w:r>
        <w:rPr>
          <w:b/>
          <w:bCs/>
        </w:rPr>
        <w:t xml:space="preserve">Texto estándar</w:t>
      </w:r>
      <w:r>
        <w:t xml:space="preserve"> </w:t>
      </w:r>
      <w:r>
        <w:t xml:space="preserve">(debe coincidir con el recordatorio de uso del informe CS-13):</w:t>
      </w:r>
    </w:p>
    <w:p>
      <w:pPr>
        <w:pStyle w:val="BlockText"/>
      </w:pPr>
      <w:r>
        <w:t xml:space="preserve">“El participante podrá declarar que participó en la Ronda CALAIRE-EA [ID] para los gases [LISTA]. No podrá declarar ni dar a entender que CALAIRE-EA está acreditada, que la ronda está acreditada o que el participante es técnicamente competente únicamente en virtud de su participación. El informe debe utilizarse íntegramente y sin representaciones engañosas de sus resultados o alcance. La evaluación detallada del desempeño se proporciona en el informe técnico separado. La distribución de este informe o su contenido a terceros requiere autorización escrita de CALAIRE-EA.”</w:t>
      </w:r>
    </w:p>
    <w:bookmarkEnd w:id="26"/>
    <w:bookmarkStart w:id="27" w:name="estado-de-preacreditación"/>
    <w:p>
      <w:pPr>
        <w:pStyle w:val="Heading3"/>
      </w:pPr>
      <w:r>
        <w:t xml:space="preserve">17. Estado de preacreditación</w:t>
      </w:r>
    </w:p>
    <w:p>
      <w:pPr>
        <w:pStyle w:val="BlockText"/>
      </w:pPr>
      <w:r>
        <w:t xml:space="preserve">El servicio podrá describir sus bases de diseño pero no podrá afirmar que CALAIRE-EA o la ronda estén acreditadas.</w:t>
      </w:r>
    </w:p>
    <w:bookmarkEnd w:id="27"/>
    <w:bookmarkStart w:id="28" w:name="Xf601604ab67fc63181fdc33cfbf379bece52ee9"/>
    <w:p>
      <w:pPr>
        <w:pStyle w:val="Heading3"/>
      </w:pPr>
      <w:r>
        <w:t xml:space="preserve">18. Fuerza mayor, ley aplicable y lenguaje de responsabilidad aprobado</w:t>
      </w:r>
    </w:p>
    <w:p>
      <w:pPr>
        <w:pStyle w:val="FirstParagraph"/>
      </w:pPr>
      <w:r>
        <w:t xml:space="preserve">[POR DILIGENCIAR — redacción del asesor jurídico: alcance de fuerza mayor, ley aplicable, resolución de controversias, límite de responsabilidad y responsabilidad por daños al instrumento]</w:t>
      </w:r>
    </w:p>
    <w:bookmarkEnd w:id="28"/>
    <w:bookmarkStart w:id="29" w:name="Xfa308ce0e4c3f3228e001382a5217971086f819"/>
    <w:p>
      <w:pPr>
        <w:pStyle w:val="Heading3"/>
      </w:pPr>
      <w:r>
        <w:t xml:space="preserve">19. Protección de datos (Habeas Data — Ley 1581 de 2012)</w:t>
      </w:r>
    </w:p>
    <w:p>
      <w:pPr>
        <w:pStyle w:val="FirstParagraph"/>
      </w:pPr>
      <w:r>
        <w:t xml:space="preserve">Esta cláusula es</w:t>
      </w:r>
      <w:r>
        <w:t xml:space="preserve"> </w:t>
      </w:r>
      <w:r>
        <w:rPr>
          <w:b/>
          <w:bCs/>
        </w:rPr>
        <w:t xml:space="preserve">obligatoria</w:t>
      </w:r>
      <w:r>
        <w:t xml:space="preserve"> </w:t>
      </w:r>
      <w:r>
        <w:t xml:space="preserve">para cualquier acuerdo comercial que involucre personal</w:t>
      </w:r>
      <w:r>
        <w:t xml:space="preserve"> </w:t>
      </w:r>
      <w:r>
        <w:t xml:space="preserve">datos de los representantes y del personal del participante. El controlador es el</w:t>
      </w:r>
      <w:r>
        <w:t xml:space="preserve"> </w:t>
      </w:r>
      <w:r>
        <w:t xml:space="preserve">Universidad Nacional de Colombia; CALAIRE es la unidad ejecutora y no debe ser</w:t>
      </w:r>
      <w:r>
        <w:t xml:space="preserve"> </w:t>
      </w:r>
      <w:r>
        <w:t xml:space="preserve">identificada como responsable legal independiente del tratamiento de datos.</w:t>
      </w:r>
    </w:p>
    <w:p>
      <w:pPr>
        <w:pStyle w:val="BlockText"/>
      </w:pPr>
      <w:r>
        <w:t xml:space="preserve">“El participante autoriza a la Universidad Nacional de Colombia a recolectar,</w:t>
      </w:r>
      <w:r>
        <w:t xml:space="preserve"> </w:t>
      </w:r>
      <w:r>
        <w:t xml:space="preserve">almacenar, usar y circular los datos personales suministrados para gestionar</w:t>
      </w:r>
      <w:r>
        <w:t xml:space="preserve"> </w:t>
      </w:r>
      <w:r>
        <w:t xml:space="preserve">la relación comercial, ejecutar la ronda, emitir informes y constancias y</w:t>
      </w:r>
      <w:r>
        <w:t xml:space="preserve"> </w:t>
      </w:r>
      <w:r>
        <w:t xml:space="preserve">cumplir obligaciones legales, contables y documentales. Las comunicaciones</w:t>
      </w:r>
      <w:r>
        <w:t xml:space="preserve"> </w:t>
      </w:r>
      <w:r>
        <w:t xml:space="preserve">comerciales futuras requieren consentimiento separado. El titular puede</w:t>
      </w:r>
      <w:r>
        <w:t xml:space="preserve"> </w:t>
      </w:r>
      <w:r>
        <w:t xml:space="preserve">ejercer sus derechos de consulta, actualización, rectificación, supresión o</w:t>
      </w:r>
      <w:r>
        <w:t xml:space="preserve"> </w:t>
      </w:r>
      <w:r>
        <w:t xml:space="preserve">revocación mediante los canales institucionales publicados en</w:t>
      </w:r>
      <w:r>
        <w:t xml:space="preserve"> </w:t>
      </w:r>
      <w:r>
        <w:t xml:space="preserve">https://unal.edu.co/tratamiento-de-datos-personales.html o escribiendo a</w:t>
      </w:r>
      <w:r>
        <w:t xml:space="preserve"> </w:t>
      </w:r>
      <w:r>
        <w:t xml:space="preserve">protecdatos_na@unal.edu.co. La retención se sujetará al procedimiento vigente</w:t>
      </w:r>
      <w:r>
        <w:t xml:space="preserve"> </w:t>
      </w:r>
      <w:r>
        <w:t xml:space="preserve">de control de registros del PEA y a las tablas institucionales aplicables.”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2026-07-16T14:37:58Z</dcterms:created>
  <dcterms:modified xsi:type="dcterms:W3CDTF">2026-07-16T14:37:58Z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