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d3b85ad066159df51eaa301b0189ca85fcad93"/>
    <w:p>
      <w:pPr>
        <w:pStyle w:val="Heading1"/>
      </w:pPr>
      <w:r>
        <w:t xml:space="preserve">CS-09 — Lista de verificación de revisión de contrato/PO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Líder técnico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la verificación de capacidad residual, las ramas detalladas del consentimiento de divulgación y el requisito de firma por verificación)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Las referencias del SGC usan los códigos vigentes tras la renumeración del 2026-06-14.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Impedir que CALAIRE-EA acepte un pedido que no puede entregar o cuyo lenguaje de orden de compra entra en conflicto con las condiciones del PT.</w:t>
      </w:r>
    </w:p>
    <w:bookmarkEnd w:id="9"/>
    <w:bookmarkStart w:id="10" w:name="verificaciones"/>
    <w:p>
      <w:pPr>
        <w:pStyle w:val="Heading2"/>
      </w:pPr>
      <w:r>
        <w:t xml:space="preserve">Verificaciones</w:t>
      </w:r>
    </w:p>
    <w:p>
      <w:pPr>
        <w:pStyle w:val="FirstParagraph"/>
      </w:pPr>
      <w:r>
        <w:t xml:space="preserve">Cada verificación</w:t>
      </w:r>
      <w:r>
        <w:t xml:space="preserve"> </w:t>
      </w:r>
      <w:r>
        <w:rPr>
          <w:b/>
          <w:bCs/>
        </w:rPr>
        <w:t xml:space="preserve">debe estar firmada</w:t>
      </w:r>
      <w:r>
        <w:t xml:space="preserve"> </w:t>
      </w:r>
      <w:r>
        <w:t xml:space="preserve">(iniciales) por el revisor;</w:t>
      </w:r>
      <w:r>
        <w:t xml:space="preserve"> </w:t>
      </w:r>
      <w:r>
        <w:t xml:space="preserve">“—”</w:t>
      </w:r>
      <w:r>
        <w:t xml:space="preserve"> </w:t>
      </w:r>
      <w:r>
        <w:t xml:space="preserve">o un espacio en blanco no es aceptable. Una verificación puede ser Pasa, Falla o N/A (con justificación).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Evidencia requerida</w:t>
            </w:r>
          </w:p>
        </w:tc>
        <w:tc>
          <w:tcPr/>
          <w:p>
            <w:pPr>
              <w:pStyle w:val="Compact"/>
            </w:pPr>
            <w:r>
              <w:t xml:space="preserve">Pasa / Falla / N/A</w:t>
            </w:r>
          </w:p>
        </w:tc>
        <w:tc>
          <w:tcPr/>
          <w:p>
            <w:pPr>
              <w:pStyle w:val="Compact"/>
            </w:pPr>
            <w:r>
              <w:t xml:space="preserve">Iniciales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 cotización es válida y coincide con el registro (paquete de gas, recuento del analizador, cliente)</w:t>
            </w:r>
          </w:p>
        </w:tc>
        <w:tc>
          <w:tcPr/>
          <w:p>
            <w:pPr>
              <w:pStyle w:val="Compact"/>
            </w:pPr>
            <w:r>
              <w:t xml:space="preserve">Número de cotización, fecha de emisión, vencimiento, fecha límite de aceptación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 cotización no ha sido aceptada por otra parte (sin doble reserva)</w:t>
            </w:r>
          </w:p>
        </w:tc>
        <w:tc>
          <w:tcPr/>
          <w:p>
            <w:pPr>
              <w:pStyle w:val="Compact"/>
            </w:pPr>
            <w:r>
              <w:t xml:space="preserve">Historial de revisiones de CS-06 / vista de cotizaciones de CS-10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Los gases seleccionados se ofrecen en ronda</w:t>
            </w:r>
          </w:p>
        </w:tc>
        <w:tc>
          <w:tcPr/>
          <w:p>
            <w:pPr>
              <w:pStyle w:val="Compact"/>
            </w:pPr>
            <w:r>
              <w:t xml:space="preserve">Aviso de ronda (CS-03)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 capacidad del analizador sigue estando disponible por gas y configuración operativa</w:t>
            </w:r>
          </w:p>
        </w:tc>
        <w:tc>
          <w:tcPr/>
          <w:p>
            <w:pPr>
              <w:pStyle w:val="Compact"/>
            </w:pPr>
            <w:r>
              <w:t xml:space="preserve">Vista de capacidad del rastreador CS-10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 pedido se mantiene dentro de los límites de capacidad (4 posiciones de gas individuales o límite de CO/SO₂ simultáneo de 3 participantes/6 analizadores)</w:t>
            </w:r>
          </w:p>
        </w:tc>
        <w:tc>
          <w:tcPr/>
          <w:p>
            <w:pPr>
              <w:pStyle w:val="Compact"/>
            </w:pPr>
            <w:r>
              <w:t xml:space="preserve">Rastreador CS-10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capacidad residual después de este pedido es ≥ 0</w:t>
            </w:r>
            <w:r>
              <w:t xml:space="preserve"> </w:t>
            </w:r>
            <w:r>
              <w:t xml:space="preserve">(este es el límite de aceptación: si se consume el último espacio, márquelo como</w:t>
            </w:r>
            <w:r>
              <w:t xml:space="preserve"> </w:t>
            </w:r>
            <w:r>
              <w:t xml:space="preserve">“último espacio”</w:t>
            </w:r>
            <w:r>
              <w:t xml:space="preserve"> </w:t>
            </w:r>
            <w:r>
              <w:t xml:space="preserve">y requiera autorización de la Directora del grupo)</w:t>
            </w:r>
          </w:p>
        </w:tc>
        <w:tc>
          <w:tcPr/>
          <w:p>
            <w:pPr>
              <w:pStyle w:val="Compact"/>
            </w:pPr>
            <w:r>
              <w:t xml:space="preserve">Vista de capacidad del CS-10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El equipo parece compatible según los datos enviados (modelo, fechas de calibración)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  <w:r>
              <w:t xml:space="preserve"> </w:t>
            </w:r>
            <w:r>
              <w:t xml:space="preserve">anexo técnico/equipamiento (post-renumeración) y</w:t>
            </w:r>
            <w:r>
              <w:t xml:space="preserve"> </w:t>
            </w: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Coincidencia de precios, moneda, impuestos y cronograma de pagos</w:t>
            </w:r>
          </w:p>
        </w:tc>
        <w:tc>
          <w:tcPr/>
          <w:p>
            <w:pPr>
              <w:pStyle w:val="Compact"/>
            </w:pPr>
            <w:r>
              <w:t xml:space="preserve">Cotización CS-06 vs. registro vs. 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PO no anula silenciosamente las reglas de cancelación, confidencialidad o informes (diferencia cláusula por cláusula frente a CS-08)</w:t>
            </w:r>
          </w:p>
        </w:tc>
        <w:tc>
          <w:tcPr/>
          <w:p>
            <w:pPr>
              <w:pStyle w:val="Compact"/>
            </w:pPr>
            <w:r>
              <w:t xml:space="preserve">Texto del PO revisado con respecto al CS-08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 no anula silenciosamente la regla de valor asignado, los indicadores de evaluación o la ausencia de calificación agregada (CS-08 cláusulas 12 y 13)</w:t>
            </w:r>
          </w:p>
        </w:tc>
        <w:tc>
          <w:tcPr/>
          <w:p>
            <w:pPr>
              <w:pStyle w:val="Compact"/>
            </w:pPr>
            <w:r>
              <w:t xml:space="preserve">Texto de orden de compra revisado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Es posible realizar informes específicos del cliente o requisitos lingüísticos</w:t>
            </w:r>
          </w:p>
        </w:tc>
        <w:tc>
          <w:tcPr/>
          <w:p>
            <w:pPr>
              <w:pStyle w:val="Compact"/>
            </w:pPr>
            <w:r>
              <w:t xml:space="preserve">Confirmación de operaciones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El riesgo de conflicto de intereses o de imparcialidad se refiere al control del SGC existente</w:t>
            </w:r>
          </w:p>
        </w:tc>
        <w:tc>
          <w:tcPr/>
          <w:p>
            <w:pPr>
              <w:pStyle w:val="Compact"/>
            </w:pPr>
            <w:r>
              <w:t xml:space="preserve">Registro de imparcialidad/revisión de la gestión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consentimiento de divulgación se registra Y tiene un alcance correcto</w:t>
            </w:r>
            <w:r>
              <w:t xml:space="preserve"> </w:t>
            </w:r>
            <w:r>
              <w:t xml:space="preserve">(divulgación regulatoria, divulgación de marketing, divulgación transfronteriza: tres consentimientos separados)</w:t>
            </w:r>
          </w:p>
        </w:tc>
        <w:tc>
          <w:tcPr/>
          <w:p>
            <w:pPr>
              <w:pStyle w:val="Compact"/>
            </w:pPr>
            <w:r>
              <w:t xml:space="preserve">Formulario de inscripción (CS-07)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 consentimiento de protección de datos está registrado</w:t>
            </w:r>
            <w:r>
              <w:t xml:space="preserve"> </w:t>
            </w:r>
            <w:r>
              <w:t xml:space="preserve">(texto de la Ley 1581 de 2012 aceptado)</w:t>
            </w:r>
          </w:p>
        </w:tc>
        <w:tc>
          <w:tcPr/>
          <w:p>
            <w:pPr>
              <w:pStyle w:val="Compact"/>
            </w:pPr>
            <w:r>
              <w:t xml:space="preserve">Formulario de inscripción (CS-07)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Se recibe el pago requerido / evidencia de orden de compra</w:t>
            </w:r>
          </w:p>
        </w:tc>
        <w:tc>
          <w:tcPr/>
          <w:p>
            <w:pPr>
              <w:pStyle w:val="Compact"/>
            </w:pPr>
            <w:r>
              <w:t xml:space="preserve">Confirmación institucional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Si estado = En lista de espera, criterios de prioridad de la lista de espera documentados y aplicados (según CS-01 Sección 7)</w:t>
            </w:r>
          </w:p>
        </w:tc>
        <w:tc>
          <w:tcPr/>
          <w:p>
            <w:pPr>
              <w:pStyle w:val="Compact"/>
            </w:pPr>
            <w:r>
              <w:t xml:space="preserve">Vista de lista de espera de CS-10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Se autoriza decisión de aceptación, lista de espera o rechazo (profesional de proyectos para norma; gestión para institucional)</w:t>
            </w:r>
          </w:p>
        </w:tc>
        <w:tc>
          <w:tcPr/>
          <w:p>
            <w:pPr>
              <w:pStyle w:val="Compact"/>
            </w:pPr>
            <w:r>
              <w:t xml:space="preserve">Autoridad de aprobación CS-01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Ramas del consentimiento de divulgación</w:t>
      </w:r>
      <w:r>
        <w:t xml:space="preserve"> </w:t>
      </w:r>
      <w:r>
        <w:t xml:space="preserve">(detalle para la verificación 13):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Divulgación reglamentaria:</w:t>
      </w:r>
      <w:r>
        <w:t xml:space="preserve"> </w:t>
      </w:r>
      <w:r>
        <w:t xml:space="preserve">consentimiento para divulgar resultados a las autoridades reguladoras cuando lo exija la ley (normalmente obligatorio, no opcional).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Divulgación comercial:</w:t>
      </w:r>
      <w:r>
        <w:t xml:space="preserve"> </w:t>
      </w:r>
      <w:r>
        <w:t xml:space="preserve">consentimiento para usar datos anonimizados de participación en materiales comerciales (opcional, revocable).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Divulgación transfronteriza:</w:t>
      </w:r>
      <w:r>
        <w:t xml:space="preserve"> </w:t>
      </w:r>
      <w:r>
        <w:t xml:space="preserve">consentimiento para transferir los datos del informe fuera de Colombia para su entrega (requerido para clientes internacionales; explícito según la Ley 1581/2012).</w:t>
      </w:r>
    </w:p>
    <w:p>
      <w:pPr>
        <w:pStyle w:val="FirstParagraph"/>
      </w:pPr>
      <w:r>
        <w:t xml:space="preserve">Un solo</w:t>
      </w:r>
      <w:r>
        <w:t xml:space="preserve"> </w:t>
      </w:r>
      <w:r>
        <w:t xml:space="preserve">“Acepto la divulgación”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insuficiente</w:t>
      </w:r>
      <w:r>
        <w:t xml:space="preserve">: cada sucursal debe verificarse por separado en CS-07 y verificarse en esta lista de verificación.</w:t>
      </w:r>
    </w:p>
    <w:bookmarkEnd w:id="10"/>
    <w:bookmarkStart w:id="11" w:name="revisar-registro"/>
    <w:p>
      <w:pPr>
        <w:pStyle w:val="Heading2"/>
      </w:pPr>
      <w:r>
        <w:t xml:space="preserve">Revisar registro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la ronda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inscripción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 de tiempo de aceptación</w:t>
            </w:r>
          </w:p>
        </w:tc>
        <w:tc>
          <w:tcPr/>
          <w:p>
            <w:pPr>
              <w:pStyle w:val="Compact"/>
            </w:pPr>
            <w:r>
              <w:t xml:space="preserve">[POR DILIGENCIAR — de CS-07]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Número de cotización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Revisión de cotización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Revisor</w:t>
            </w:r>
          </w:p>
        </w:tc>
        <w:tc>
          <w:tcPr/>
          <w:p>
            <w:pPr>
              <w:pStyle w:val="Compact"/>
            </w:pPr>
            <w:r>
              <w:t xml:space="preserve">[POR DILIGENCIAR — 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revisión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[Aceptado / En lista de espera / Rechazado]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 autorizada por</w:t>
            </w:r>
          </w:p>
        </w:tc>
        <w:tc>
          <w:tcPr/>
          <w:p>
            <w:pPr>
              <w:pStyle w:val="Compact"/>
            </w:pPr>
            <w:r>
              <w:t xml:space="preserve">[POR DILIGENCIAR — NOMBRE]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autorización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</w:tbl>
    <w:bookmarkEnd w:id="11"/>
    <w:bookmarkStart w:id="12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2"/>
        </w:numPr>
      </w:pPr>
      <w:r>
        <w:t xml:space="preserve">Los pedidos rechazados se registran con el motivo (obligatorio;</w:t>
      </w:r>
      <w:r>
        <w:t xml:space="preserve"> </w:t>
      </w:r>
      <w:r>
        <w:t xml:space="preserve">“sin motivo”</w:t>
      </w:r>
      <w:r>
        <w:t xml:space="preserve"> </w:t>
      </w:r>
      <w:r>
        <w:t xml:space="preserve">no es aceptable).</w:t>
      </w:r>
    </w:p>
    <w:p>
      <w:pPr>
        <w:pStyle w:val="Compact"/>
        <w:numPr>
          <w:ilvl w:val="0"/>
          <w:numId w:val="1002"/>
        </w:numPr>
      </w:pPr>
      <w:r>
        <w:t xml:space="preserve">Los pedidos en lista de espera se rastrean en CS-10 con la fecha de prioridad y los criterios aplicados.</w:t>
      </w:r>
    </w:p>
    <w:p>
      <w:pPr>
        <w:pStyle w:val="Compact"/>
        <w:numPr>
          <w:ilvl w:val="0"/>
          <w:numId w:val="1002"/>
        </w:numPr>
      </w:pPr>
      <w:r>
        <w:t xml:space="preserve">Los pedidos confirmados activan la confirmación CS-11 y la transferencia SGC.</w:t>
      </w:r>
    </w:p>
    <w:p>
      <w:pPr>
        <w:pStyle w:val="Compact"/>
        <w:numPr>
          <w:ilvl w:val="0"/>
          <w:numId w:val="1002"/>
        </w:numPr>
      </w:pPr>
      <w:r>
        <w:t xml:space="preserve">Las 17 verificaciones deben estar rubricadas; las iniciales que faltan bloquean la decisión.</w:t>
      </w:r>
    </w:p>
    <w:p>
      <w:pPr>
        <w:pStyle w:val="Compact"/>
        <w:numPr>
          <w:ilvl w:val="0"/>
          <w:numId w:val="1002"/>
        </w:numPr>
      </w:pPr>
      <w:r>
        <w:t xml:space="preserve">Si falla alguna verificación, el registro es rechazado o devuelto al cliente; el motivo se documenta y se comparte con el cliente.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