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b149ac663ecf2090f46cf220963401c2c062ea"/>
    <w:p>
      <w:pPr>
        <w:pStyle w:val="Heading1"/>
      </w:pPr>
      <w:r>
        <w:t xml:space="preserve">CS-10 — Seguimiento de inscripciones e ingresos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(libro de trabajo protegido implementado, controles automáticos y simulación sintética)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 de aforo, pedido, pago y viabilidad.</w:t>
      </w:r>
    </w:p>
    <w:bookmarkEnd w:id="9"/>
    <w:bookmarkStart w:id="10" w:name="formato"/>
    <w:p>
      <w:pPr>
        <w:pStyle w:val="Heading2"/>
      </w:pPr>
      <w:r>
        <w:t xml:space="preserve">Formato</w:t>
      </w:r>
    </w:p>
    <w:p>
      <w:pPr>
        <w:pStyle w:val="FirstParagraph"/>
      </w:pPr>
      <w:r>
        <w:t xml:space="preserve">Archivo Excel institucional protegido para el MVP, almacenado en una ubicación</w:t>
      </w:r>
      <w:r>
        <w:t xml:space="preserve"> </w:t>
      </w:r>
      <w:r>
        <w:t xml:space="preserve">UNAL con control de acceso y copias de respaldo. Resultados técnicos participantes</w:t>
      </w:r>
      <w:r>
        <w:t xml:space="preserve"> </w:t>
      </w:r>
      <w:r>
        <w:t xml:space="preserve">no debe almacenarse en él. La migración futura a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solo procede</w:t>
      </w:r>
      <w:r>
        <w:t xml:space="preserve"> </w:t>
      </w:r>
      <w:r>
        <w:t xml:space="preserve">después de validar el flujo.</w:t>
      </w:r>
    </w:p>
    <w:p>
      <w:pPr>
        <w:pStyle w:val="BodyText"/>
      </w:pPr>
      <w:r>
        <w:rPr>
          <w:b/>
          <w:bCs/>
        </w:rPr>
        <w:t xml:space="preserve">Archivos operativos: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CS-10_seguimiento_inscripciones_ingresos.xlsx</w:t>
      </w:r>
      <w:r>
        <w:t xml:space="preserve">: plantilla limpia y protegida.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CS-10_simulacion_sintetica.xlsx</w:t>
      </w:r>
      <w:r>
        <w:t xml:space="preserve">: copia de prueba sintética; nunca lo use como registro en vivo.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../../scripts/build_cs10_tracker.py</w:t>
      </w:r>
      <w:r>
        <w:t xml:space="preserve">: reproducible workbook generator.</w:t>
      </w:r>
    </w:p>
    <w:p>
      <w:pPr>
        <w:pStyle w:val="FirstParagraph"/>
      </w:pPr>
      <w:r>
        <w:t xml:space="preserve">La contraseña inicial de protección de la hoja está documentada en</w:t>
      </w:r>
      <w:r>
        <w:t xml:space="preserve"> </w:t>
      </w:r>
      <w:r>
        <w:rPr>
          <w:rStyle w:val="VerbatimChar"/>
        </w:rPr>
        <w:t xml:space="preserve">LEAME</w:t>
      </w:r>
      <w:r>
        <w:t xml:space="preserve"> </w:t>
      </w:r>
      <w:r>
        <w:t xml:space="preserve">y debe ser</w:t>
      </w:r>
      <w:r>
        <w:t xml:space="preserve"> </w:t>
      </w:r>
      <w:r>
        <w:t xml:space="preserve">modificado por la Directora del grupo antes de su uso real. La protección de la hoja evita</w:t>
      </w:r>
      <w:r>
        <w:t xml:space="preserve"> </w:t>
      </w:r>
      <w:r>
        <w:t xml:space="preserve">ediciones accidentales; El control de acceso, el registro de auditoría y las copias de seguridad siguen siendo institucionales.</w:t>
      </w:r>
      <w:r>
        <w:t xml:space="preserve"> </w:t>
      </w:r>
      <w:r>
        <w:t xml:space="preserve">storage responsibilities.</w:t>
      </w:r>
    </w:p>
    <w:p>
      <w:pPr>
        <w:pStyle w:val="BodyText"/>
      </w:pPr>
      <w:r>
        <w:rPr>
          <w:b/>
          <w:bCs/>
        </w:rPr>
        <w:t xml:space="preserve">Regla del sistema de comunicación:</w:t>
      </w:r>
      <w:r>
        <w:t xml:space="preserve"> </w:t>
      </w:r>
      <w:r>
        <w:t xml:space="preserve">la columna</w:t>
      </w:r>
      <w:r>
        <w:t xml:space="preserve"> </w:t>
      </w:r>
      <w:r>
        <w:t xml:space="preserve">“Enlace/ubicación de comunicación”</w:t>
      </w:r>
      <w:r>
        <w:t xml:space="preserve"> </w:t>
      </w:r>
      <w:r>
        <w:t xml:space="preserve">a continuación</w:t>
      </w:r>
      <w:r>
        <w:t xml:space="preserve"> </w:t>
      </w:r>
      <w:r>
        <w:t xml:space="preserve">debe apuntar a</w:t>
      </w:r>
      <w:r>
        <w:t xml:space="preserve"> </w:t>
      </w:r>
      <w:r>
        <w:rPr>
          <w:rStyle w:val="VerbatimChar"/>
        </w:rPr>
        <w:t xml:space="preserve">calaire_med@unal.edu.co</w:t>
      </w:r>
      <w:r>
        <w:t xml:space="preserve"> </w:t>
      </w:r>
      <w:r>
        <w:t xml:space="preserve">o un proyecto institucional controlado</w:t>
      </w:r>
      <w:r>
        <w:t xml:space="preserve"> </w:t>
      </w:r>
      <w:r>
        <w:t xml:space="preserve">carpeta. No se aprueban las bandejas de entrada personales ni las carpetas ad hoc.</w:t>
      </w:r>
    </w:p>
    <w:bookmarkEnd w:id="10"/>
    <w:bookmarkStart w:id="11" w:name="columnas-mínimas"/>
    <w:p>
      <w:pPr>
        <w:pStyle w:val="Heading2"/>
      </w:pPr>
      <w:r>
        <w:t xml:space="preserve">Columnas mínimas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de cliente potencial/cliente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Organización</w:t>
            </w:r>
          </w:p>
        </w:tc>
        <w:tc>
          <w:tcPr/>
          <w:p>
            <w:pPr>
              <w:pStyle w:val="Compact"/>
            </w:pPr>
            <w:r>
              <w:t xml:space="preserve">Nombre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Idioma preferido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 la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Bloques seleccionados</w:t>
            </w:r>
          </w:p>
        </w:tc>
        <w:tc>
          <w:tcPr/>
          <w:p>
            <w:pPr>
              <w:pStyle w:val="Compact"/>
            </w:pPr>
            <w:r>
              <w:t xml:space="preserve">CO, SO₂, O₃, NO/NO₂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 de analizadores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Número de cotización</w:t>
            </w:r>
          </w:p>
        </w:tc>
        <w:tc>
          <w:tcPr/>
          <w:p>
            <w:pPr>
              <w:pStyle w:val="Compact"/>
            </w:pPr>
            <w:r>
              <w:t xml:space="preserve">Enlaza con CS-06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cotización</w:t>
            </w:r>
          </w:p>
        </w:tc>
        <w:tc>
          <w:tcPr/>
          <w:p>
            <w:pPr>
              <w:pStyle w:val="Compact"/>
            </w:pPr>
            <w:r>
              <w:t xml:space="preserve">Inicial = 0; se incrementa con cada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cotización</w:t>
            </w:r>
          </w:p>
        </w:tc>
        <w:tc>
          <w:tcPr/>
          <w:p>
            <w:pPr>
              <w:pStyle w:val="Compact"/>
            </w:pPr>
            <w:r>
              <w:t xml:space="preserve">Valor original, antes de revisiones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comprometido actual</w:t>
            </w:r>
          </w:p>
        </w:tc>
        <w:tc>
          <w:tcPr/>
          <w:p>
            <w:pPr>
              <w:pStyle w:val="Compact"/>
            </w:pPr>
            <w:r>
              <w:t xml:space="preserve">Después de cualquier revisión o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Moneda de cotización</w:t>
            </w:r>
          </w:p>
        </w:tc>
        <w:tc>
          <w:tcPr/>
          <w:p>
            <w:pPr>
              <w:pStyle w:val="Compact"/>
            </w:pPr>
            <w:r>
              <w:t xml:space="preserve">COP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Vencimiento de cotización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Plazo de aceptación de la cotización</w:t>
            </w:r>
          </w:p>
        </w:tc>
        <w:tc>
          <w:tcPr/>
          <w:p>
            <w:pPr>
              <w:pStyle w:val="Compact"/>
            </w:pPr>
            <w:r>
              <w:t xml:space="preserve">Primera fecha entre vencimiento de 30 días, cierre de inscripción, 15 días antes de la ronda o agotamiento de capacidad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límite de pago/orden de compra</w:t>
            </w:r>
          </w:p>
        </w:tc>
        <w:tc>
          <w:tcPr/>
          <w:p>
            <w:pPr>
              <w:pStyle w:val="Compact"/>
            </w:pPr>
            <w:r>
              <w:t xml:space="preserve">15 días calendario por defecto o plazo obligatorio de la Universidad, sin exceder el cierre de inscripción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inscripción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Marca de tiempo de aceptación</w:t>
            </w:r>
          </w:p>
        </w:tc>
        <w:tc>
          <w:tcPr/>
          <w:p>
            <w:pPr>
              <w:pStyle w:val="Compact"/>
            </w:pPr>
            <w:r>
              <w:t xml:space="preserve">[POR DILIGENCIAR — de CS-07]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aceptación</w:t>
            </w:r>
          </w:p>
        </w:tc>
        <w:tc>
          <w:tcPr/>
          <w:p>
            <w:pPr>
              <w:pStyle w:val="Compact"/>
            </w:pPr>
            <w:r>
              <w:t xml:space="preserve">Correo institucional con cotización firmada / orden de compra formal aceptada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revisión del contrato</w:t>
            </w:r>
          </w:p>
        </w:tc>
        <w:tc>
          <w:tcPr/>
          <w:p>
            <w:pPr>
              <w:pStyle w:val="Compact"/>
            </w:pPr>
            <w:r>
              <w:t xml:space="preserve">Pendiente / Aprobado / Fallido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revisión del contrato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Revisor del contrato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Estado de la orden de compra/pago/factura</w:t>
            </w:r>
          </w:p>
        </w:tc>
        <w:tc>
          <w:tcPr/>
          <w:p>
            <w:pPr>
              <w:pStyle w:val="Compact"/>
            </w:pPr>
            <w:r>
              <w:t xml:space="preserve">Pendiente / Parcial (X%) / Recibido / Facturado / Pagado / Vencido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Seguimiento de pagos parciales</w:t>
            </w:r>
          </w:p>
        </w:tc>
        <w:tc>
          <w:tcPr/>
          <w:p>
            <w:pPr>
              <w:pStyle w:val="Compact"/>
            </w:pPr>
            <w:r>
              <w:t xml:space="preserve">Si PO/estado de pago = Parcial, registre: monto recibido, monto pendiente, % pagado, fecha de vencimiento del próximo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factura</w:t>
            </w:r>
          </w:p>
        </w:tc>
        <w:tc>
          <w:tcPr/>
          <w:p>
            <w:pPr>
              <w:pStyle w:val="Compact"/>
            </w:pPr>
            <w:r>
              <w:t xml:space="preserve">Cuando se emite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participante después de la confirmación</w:t>
            </w:r>
          </w:p>
        </w:tc>
        <w:tc>
          <w:tcPr/>
          <w:p>
            <w:pPr>
              <w:pStyle w:val="Compact"/>
            </w:pPr>
            <w:r>
              <w:t xml:space="preserve">Asignado por SGC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consumida (por bloque)</w:t>
            </w:r>
          </w:p>
        </w:tc>
        <w:tc>
          <w:tcPr/>
          <w:p>
            <w:pPr>
              <w:pStyle w:val="Compact"/>
            </w:pPr>
            <w:r>
              <w:t xml:space="preserve">Número de analizadores aceptados en CO, SO₂, O₃ y NO/NO₂; derivado de CS-09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operativa</w:t>
            </w:r>
          </w:p>
        </w:tc>
        <w:tc>
          <w:tcPr/>
          <w:p>
            <w:pPr>
              <w:pStyle w:val="Compact"/>
            </w:pPr>
            <w:r>
              <w:t xml:space="preserve">Gas individual / CO/SO₂ simultáneos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Último indicador de espacio disponible</w:t>
            </w:r>
          </w:p>
        </w:tc>
        <w:tc>
          <w:tcPr/>
          <w:p>
            <w:pPr>
              <w:pStyle w:val="Compact"/>
            </w:pPr>
            <w:r>
              <w:t xml:space="preserve">Sí/No: se configura automáticamente en Sí al aceptar el último espacio (requiere autorización de la Directora del grupo según la verificación 6 de CS-09)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comercial</w:t>
            </w:r>
          </w:p>
        </w:tc>
        <w:tc>
          <w:tcPr/>
          <w:p>
            <w:pPr>
              <w:pStyle w:val="Compact"/>
            </w:pPr>
            <w:r>
              <w:t xml:space="preserve">Intereses / Cotizado / Registrado / En revisión / Cotización-revisión en curso / Aceptado pendiente de pago/PO / Confirmado / En lista de espera / Rechazado / Retirado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 en lista de espera</w:t>
            </w:r>
          </w:p>
        </w:tc>
        <w:tc>
          <w:tcPr/>
          <w:p>
            <w:pPr>
              <w:pStyle w:val="Compact"/>
            </w:pPr>
            <w:r>
              <w:t xml:space="preserve">Grupo 1: laboratorio acreditado; grupo 2: demás elegibles. Dentro de cada grupo, fecha/hora de solicitud completa y elegible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lista de espera</w:t>
            </w:r>
          </w:p>
        </w:tc>
        <w:tc>
          <w:tcPr/>
          <w:p>
            <w:pPr>
              <w:pStyle w:val="Compact"/>
            </w:pPr>
            <w:r>
              <w:t xml:space="preserve">Fecha en que el cliente fue agregado a la lista de espera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cancelación/reembolso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cancelación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Referencia de reembolso / nota crédito</w:t>
            </w:r>
          </w:p>
        </w:tc>
        <w:tc>
          <w:tcPr/>
          <w:p>
            <w:pPr>
              <w:pStyle w:val="Compact"/>
            </w:pPr>
            <w:r>
              <w:t xml:space="preserve">Si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Exposición cambiaria</w:t>
            </w:r>
          </w:p>
        </w:tc>
        <w:tc>
          <w:tcPr/>
          <w:p>
            <w:pPr>
              <w:pStyle w:val="Compact"/>
            </w:pPr>
            <w:r>
              <w:t xml:space="preserve">No aplica: cotización y facturación únicamente en COP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Directora del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acción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Enlace de comunicación/ubicación</w:t>
            </w:r>
          </w:p>
        </w:tc>
        <w:tc>
          <w:tcPr/>
          <w:p>
            <w:pPr>
              <w:pStyle w:val="Compact"/>
            </w:pPr>
            <w:r>
              <w:t xml:space="preserve">Debe ser uno de los sistemas aprobados (ver encabezado)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 de expresión de interés obsoleta</w:t>
            </w:r>
          </w:p>
        </w:tc>
        <w:tc>
          <w:tcPr/>
          <w:p>
            <w:pPr>
              <w:pStyle w:val="Compact"/>
            </w:pPr>
            <w:r>
              <w:t xml:space="preserve">[POR DILIGENCIAR — se establece automáticamente en Sí si la expresión de interés supera el umbral de caducidad de respuesta de CS-05]</w:t>
            </w:r>
          </w:p>
        </w:tc>
      </w:tr>
    </w:tbl>
    <w:bookmarkEnd w:id="11"/>
    <w:bookmarkStart w:id="12" w:name="Xcc6a0b76dfaf20445f341b2b57a8d474eba13de"/>
    <w:p>
      <w:pPr>
        <w:pStyle w:val="Heading2"/>
      </w:pPr>
      <w:r>
        <w:t xml:space="preserve">Reglas de prioridad de la lista de espera (predeterminadas; CS-01 puede sustituirlas)</w:t>
      </w:r>
    </w:p>
    <w:p>
      <w:pPr>
        <w:pStyle w:val="FirstParagraph"/>
      </w:pPr>
      <w:r>
        <w:t xml:space="preserve">Cuando varios clientes compiten por el mismo puesto, la prioridad es:</w:t>
      </w:r>
    </w:p>
    <w:p>
      <w:pPr>
        <w:pStyle w:val="Compact"/>
        <w:numPr>
          <w:ilvl w:val="0"/>
          <w:numId w:val="1002"/>
        </w:numPr>
      </w:pPr>
      <w:r>
        <w:t xml:space="preserve">Solicitudes completas y elegibles de laboratorios acreditados, en orden de</w:t>
      </w:r>
      <w:r>
        <w:t xml:space="preserve"> </w:t>
      </w:r>
      <w:r>
        <w:t xml:space="preserve">fecha y hora de completitud.</w:t>
      </w:r>
    </w:p>
    <w:p>
      <w:pPr>
        <w:pStyle w:val="Compact"/>
        <w:numPr>
          <w:ilvl w:val="0"/>
          <w:numId w:val="1002"/>
        </w:numPr>
      </w:pPr>
      <w:r>
        <w:t xml:space="preserve">Demás organizaciones elegibles, también en orden de fecha y hora de</w:t>
      </w:r>
      <w:r>
        <w:t xml:space="preserve"> </w:t>
      </w:r>
      <w:r>
        <w:t xml:space="preserve">completitud.</w:t>
      </w:r>
    </w:p>
    <w:p>
      <w:pPr>
        <w:pStyle w:val="Compact"/>
        <w:numPr>
          <w:ilvl w:val="0"/>
          <w:numId w:val="1002"/>
        </w:numPr>
      </w:pPr>
      <w:r>
        <w:t xml:space="preserve">La expresión de interés no reserva prioridad.</w:t>
      </w:r>
    </w:p>
    <w:p>
      <w:pPr>
        <w:pStyle w:val="FirstParagraph"/>
      </w:pPr>
      <w:r>
        <w:t xml:space="preserve">Desempate documentado en la columna</w:t>
      </w:r>
      <w:r>
        <w:t xml:space="preserve"> </w:t>
      </w:r>
      <w:r>
        <w:t xml:space="preserve">“Notas”</w:t>
      </w:r>
      <w:r>
        <w:t xml:space="preserve">. Los criterios deben aplicarse de forma coherente; las desviaciones requieren la aprobación del cliente potencial comercial y un registro CS-12.</w:t>
      </w:r>
    </w:p>
    <w:bookmarkEnd w:id="12"/>
    <w:bookmarkStart w:id="13" w:name="política-de-pago-parcial"/>
    <w:p>
      <w:pPr>
        <w:pStyle w:val="Heading2"/>
      </w:pPr>
      <w:r>
        <w:t xml:space="preserve">Política de pago parcial</w:t>
      </w:r>
    </w:p>
    <w:p>
      <w:pPr>
        <w:pStyle w:val="FirstParagraph"/>
      </w:pPr>
      <w:r>
        <w:t xml:space="preserve">Si CS-01 permite pagos parciales (por ejemplo, 50% en el pedido, 50% antes de la ronda según CS-06 Sección 9):</w:t>
      </w:r>
    </w:p>
    <w:p>
      <w:pPr>
        <w:pStyle w:val="Compact"/>
        <w:numPr>
          <w:ilvl w:val="0"/>
          <w:numId w:val="1003"/>
        </w:numPr>
      </w:pPr>
      <w:r>
        <w:t xml:space="preserve">El estado</w:t>
      </w:r>
      <w:r>
        <w:t xml:space="preserve"> </w:t>
      </w:r>
      <w:r>
        <w:t xml:space="preserve">“Parcial (X%)”</w:t>
      </w:r>
      <w:r>
        <w:t xml:space="preserve"> </w:t>
      </w:r>
      <w:r>
        <w:t xml:space="preserve">se utiliza hasta recibir el pago completo.</w:t>
      </w:r>
    </w:p>
    <w:p>
      <w:pPr>
        <w:pStyle w:val="Compact"/>
        <w:numPr>
          <w:ilvl w:val="0"/>
          <w:numId w:val="1003"/>
        </w:numPr>
      </w:pPr>
      <w:r>
        <w:t xml:space="preserve">El cliente no puede pasar a</w:t>
      </w:r>
      <w:r>
        <w:t xml:space="preserve"> </w:t>
      </w:r>
      <w:r>
        <w:t xml:space="preserve">“Confirmado”</w:t>
      </w:r>
      <w:r>
        <w:t xml:space="preserve"> </w:t>
      </w:r>
      <w:r>
        <w:t xml:space="preserve">hasta que se registre el pago completo.</w:t>
      </w:r>
    </w:p>
    <w:p>
      <w:pPr>
        <w:pStyle w:val="Compact"/>
        <w:numPr>
          <w:ilvl w:val="0"/>
          <w:numId w:val="1003"/>
        </w:numPr>
      </w:pPr>
      <w:r>
        <w:t xml:space="preserve">Si el segundo pago está vencido, escalar según CS-12 (activador de cancelación) después del período de gracia definido en CS-01.</w:t>
      </w:r>
    </w:p>
    <w:bookmarkEnd w:id="13"/>
    <w:bookmarkStart w:id="19" w:name="vistas-requeridas"/>
    <w:p>
      <w:pPr>
        <w:pStyle w:val="Heading2"/>
      </w:pPr>
      <w:r>
        <w:t xml:space="preserve">Vistas requeridas</w:t>
      </w:r>
    </w:p>
    <w:bookmarkStart w:id="14" w:name="flujo-de-oportunidades"/>
    <w:p>
      <w:pPr>
        <w:pStyle w:val="Heading3"/>
      </w:pPr>
      <w:r>
        <w:t xml:space="preserve">1. Flujo de oportunidades</w:t>
      </w:r>
    </w:p>
    <w:p>
      <w:pPr>
        <w:pStyle w:val="FirstParagraph"/>
      </w:pPr>
      <w:r>
        <w:t xml:space="preserve">Filtro: estado = Interés hasta Cotizado.</w:t>
      </w:r>
    </w:p>
    <w:p>
      <w:pPr>
        <w:pStyle w:val="BodyText"/>
      </w:pPr>
      <w:r>
        <w:t xml:space="preserve">Propósito: Pronosticar la demanda y gestionar el seguimiento de prospectos. Excluir filas con indicador Stale-EoI = Sí.</w:t>
      </w:r>
    </w:p>
    <w:bookmarkEnd w:id="14"/>
    <w:bookmarkStart w:id="15" w:name="inscripción"/>
    <w:p>
      <w:pPr>
        <w:pStyle w:val="Heading3"/>
      </w:pPr>
      <w:r>
        <w:t xml:space="preserve">2. Inscripción</w:t>
      </w:r>
    </w:p>
    <w:p>
      <w:pPr>
        <w:pStyle w:val="FirstParagraph"/>
      </w:pPr>
      <w:r>
        <w:t xml:space="preserve">Filtro: estado = Confirmado.</w:t>
      </w:r>
    </w:p>
    <w:p>
      <w:pPr>
        <w:pStyle w:val="BodyText"/>
      </w:pPr>
      <w:r>
        <w:t xml:space="preserve">Agrupar por: gas y configuración operativa.</w:t>
      </w:r>
    </w:p>
    <w:p>
      <w:pPr>
        <w:pStyle w:val="BodyText"/>
      </w:pPr>
      <w:r>
        <w:t xml:space="preserve">Propósito: Realizar un seguimiento de la capacidad confirmada frente a los límites. Muestre de forma destacada la</w:t>
      </w:r>
      <w:r>
        <w:t xml:space="preserve"> </w:t>
      </w:r>
      <w:r>
        <w:t xml:space="preserve">“bandera del último espacio disponible”</w:t>
      </w:r>
      <w:r>
        <w:t xml:space="preserve">.</w:t>
      </w:r>
    </w:p>
    <w:bookmarkEnd w:id="15"/>
    <w:bookmarkStart w:id="16" w:name="viabilidad"/>
    <w:p>
      <w:pPr>
        <w:pStyle w:val="Heading3"/>
      </w:pPr>
      <w:r>
        <w:t xml:space="preserve">3. Viabilidad</w:t>
      </w:r>
    </w:p>
    <w:p>
      <w:pPr>
        <w:pStyle w:val="FirstParagraph"/>
      </w:pPr>
      <w:r>
        <w:t xml:space="preserve">Filtro: estado = Confirmado.</w:t>
      </w:r>
    </w:p>
    <w:p>
      <w:pPr>
        <w:pStyle w:val="BodyText"/>
      </w:pPr>
      <w:r>
        <w:t xml:space="preserve">Suma: valor comprometido actual (en equivalente en COP usando la política cambiaria de la pestaña 1 de CS-04).</w:t>
      </w:r>
    </w:p>
    <w:p>
      <w:pPr>
        <w:pStyle w:val="BodyText"/>
      </w:pPr>
      <w:r>
        <w:t xml:space="preserve">Compare con: umbral mínimo de inscripción de CS-01.</w:t>
      </w:r>
    </w:p>
    <w:p>
      <w:pPr>
        <w:pStyle w:val="BodyText"/>
      </w:pPr>
      <w:r>
        <w:t xml:space="preserve">Propósito: Determinar si la ronda es comercialmente viable. Mostrar por fecha de decisión de inscripción mínima.</w:t>
      </w:r>
    </w:p>
    <w:bookmarkEnd w:id="16"/>
    <w:bookmarkStart w:id="17" w:name="cuentas-por-cobrar"/>
    <w:p>
      <w:pPr>
        <w:pStyle w:val="Heading3"/>
      </w:pPr>
      <w:r>
        <w:t xml:space="preserve">4. Cuentas por cobrar</w:t>
      </w:r>
    </w:p>
    <w:p>
      <w:pPr>
        <w:pStyle w:val="FirstParagraph"/>
      </w:pPr>
      <w:r>
        <w:t xml:space="preserve">Filtro: Orden de compra/pago/estado de factura = Facturado o Pagado o Vencido o Parcial.</w:t>
      </w:r>
    </w:p>
    <w:p>
      <w:pPr>
        <w:pStyle w:val="BodyText"/>
      </w:pPr>
      <w:r>
        <w:t xml:space="preserve">Propósito: Realizar un seguimiento del flujo de caja y de las cuentas vencidas. Resalte las cuentas vencidas por período de gracia CS-01.</w:t>
      </w:r>
    </w:p>
    <w:bookmarkEnd w:id="17"/>
    <w:bookmarkStart w:id="18" w:name="excepciones"/>
    <w:p>
      <w:pPr>
        <w:pStyle w:val="Heading3"/>
      </w:pPr>
      <w:r>
        <w:t xml:space="preserve">5. Excepciones</w:t>
      </w:r>
    </w:p>
    <w:p>
      <w:pPr>
        <w:pStyle w:val="FirstParagraph"/>
      </w:pPr>
      <w:r>
        <w:t xml:space="preserve">Filtro: estado = En lista de espera / Cancelado / Reembolsado / Disputado / Rechazado.</w:t>
      </w:r>
    </w:p>
    <w:p>
      <w:pPr>
        <w:pStyle w:val="BodyText"/>
      </w:pPr>
      <w:r>
        <w:t xml:space="preserve">Finalidad: Gestionar excepciones y reasignaciones de capacidad. Mostrar prioridad y fecha de la lista de espera.</w:t>
      </w:r>
    </w:p>
    <w:bookmarkEnd w:id="18"/>
    <w:bookmarkEnd w:id="19"/>
    <w:bookmarkStart w:id="20" w:name="indicadores-de-capacidad"/>
    <w:p>
      <w:pPr>
        <w:pStyle w:val="Heading2"/>
      </w:pPr>
      <w:r>
        <w:t xml:space="preserve">Indicadores de capacidad</w:t>
      </w:r>
    </w:p>
    <w:p>
      <w:pPr>
        <w:pStyle w:val="FirstParagraph"/>
      </w:pPr>
      <w:r>
        <w:t xml:space="preserve">El rastreador debería marcar automáticamente:</w:t>
      </w:r>
    </w:p>
    <w:p>
      <w:pPr>
        <w:pStyle w:val="Compact"/>
        <w:numPr>
          <w:ilvl w:val="0"/>
          <w:numId w:val="1004"/>
        </w:numPr>
      </w:pPr>
      <w:r>
        <w:t xml:space="preserve">Más de 4 cupos confirmados de analizadores para un gas individual.</w:t>
      </w:r>
    </w:p>
    <w:p>
      <w:pPr>
        <w:pStyle w:val="Compact"/>
        <w:numPr>
          <w:ilvl w:val="0"/>
          <w:numId w:val="1004"/>
        </w:numPr>
      </w:pPr>
      <w:r>
        <w:t xml:space="preserve">Más de 3 participantes o 6 analizadores para CO/SO₂ simultáneos.</w:t>
      </w:r>
    </w:p>
    <w:p>
      <w:pPr>
        <w:pStyle w:val="Compact"/>
        <w:numPr>
          <w:ilvl w:val="0"/>
          <w:numId w:val="1004"/>
        </w:numPr>
      </w:pPr>
      <w:r>
        <w:t xml:space="preserve">Un nuevo estado</w:t>
      </w:r>
      <w:r>
        <w:t xml:space="preserve"> </w:t>
      </w:r>
      <w:r>
        <w:t xml:space="preserve">“Confirmado”</w:t>
      </w:r>
      <w:r>
        <w:t xml:space="preserve"> </w:t>
      </w:r>
      <w:r>
        <w:t xml:space="preserve">que dejaría la capacidad residual = 0 (activa la advertencia de</w:t>
      </w:r>
      <w:r>
        <w:t xml:space="preserve"> </w:t>
      </w:r>
      <w:r>
        <w:t xml:space="preserve">“último espacio”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Respuestas obsoletas de expresión de interés (más antiguas que el umbral de caducidad de respuesta de CS-05).</w:t>
      </w:r>
    </w:p>
    <w:bookmarkEnd w:id="20"/>
    <w:bookmarkStart w:id="21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5"/>
        </w:numPr>
      </w:pPr>
      <w:r>
        <w:t xml:space="preserve">Acceso controlado: Directora del grupo y Profesional de proyectos.</w:t>
      </w:r>
    </w:p>
    <w:p>
      <w:pPr>
        <w:pStyle w:val="Compact"/>
        <w:numPr>
          <w:ilvl w:val="0"/>
          <w:numId w:val="1005"/>
        </w:numPr>
      </w:pPr>
      <w:r>
        <w:t xml:space="preserve">Sin resultados técnicos ni puntuaciones de rendimiento.</w:t>
      </w:r>
    </w:p>
    <w:p>
      <w:pPr>
        <w:pStyle w:val="Compact"/>
        <w:numPr>
          <w:ilvl w:val="0"/>
          <w:numId w:val="1005"/>
        </w:numPr>
      </w:pPr>
      <w:r>
        <w:t xml:space="preserve">La transferencia a la planificación de la ronda del SGC es una exportación controlada o una lista de participantes aprobados, no una reescritura manual.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t xml:space="preserve">“enlace/ubicación de comunicación”</w:t>
      </w:r>
      <w:r>
        <w:t xml:space="preserve"> </w:t>
      </w:r>
      <w:r>
        <w:t xml:space="preserve">debe utilizar únicamente sistemas aprobados; No se aceptan bandejas de entrada personales ad hoc.</w:t>
      </w:r>
    </w:p>
    <w:p>
      <w:pPr>
        <w:pStyle w:val="Compact"/>
        <w:numPr>
          <w:ilvl w:val="0"/>
          <w:numId w:val="1005"/>
        </w:numPr>
      </w:pPr>
      <w:r>
        <w:t xml:space="preserve">Todos los cambios al estado Confirmado deben ser rastreables hasta un registro CS-12 (para retiros) o un registro CS-09 (para confirmación inicial).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2026-07-16T14:37:58Z</dcterms:created>
  <dcterms:modified xsi:type="dcterms:W3CDTF">2026-07-16T14:37:58Z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