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ac7f5e6257d0061fbf348811c690f4bd036617"/>
    <w:p>
      <w:pPr>
        <w:pStyle w:val="Heading1"/>
      </w:pPr>
      <w:r>
        <w:t xml:space="preserve">CS-12 — Registro de cambios, cancelaciones y reembolsos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(se agregaron la referencia al catálogo de tarifas, el impacto en la viabilidad, el plazo de reembolso, la trazabilidad de la revisión de la cotización original y la doble autorización de decisiones financieras)</w:t>
      </w:r>
      <w:r>
        <w:t xml:space="preserve"> </w:t>
      </w:r>
      <w:r>
        <w:rPr>
          <w:b/>
          <w:bCs/>
        </w:rPr>
        <w:t xml:space="preserve">Referencia de códigos del SGC: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.</w:t>
      </w:r>
      <w:r>
        <w:t xml:space="preserve"> </w:t>
      </w:r>
      <w:r>
        <w:rPr>
          <w:rStyle w:val="VerbatimChar"/>
        </w:rPr>
        <w:t xml:space="preserve">P-PSEA-15</w:t>
      </w:r>
      <w:r>
        <w:t xml:space="preserve"> </w:t>
      </w:r>
      <w:r>
        <w:t xml:space="preserve">(vigente) = Trabajo no conforme / NC / CAPA.</w:t>
      </w:r>
      <w:r>
        <w:t xml:space="preserve"> </w:t>
      </w:r>
      <w:r>
        <w:rPr>
          <w:rStyle w:val="VerbatimChar"/>
        </w:rPr>
        <w:t xml:space="preserve">P-PSEA-16</w:t>
      </w:r>
      <w:r>
        <w:t xml:space="preserve"> </w:t>
      </w:r>
      <w:r>
        <w:t xml:space="preserve">(vigente) = Divulgación y control de valores sensibles.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 los cambios comerciales y las decisiones financieras.</w:t>
      </w:r>
    </w:p>
    <w:bookmarkEnd w:id="9"/>
    <w:bookmarkStart w:id="10" w:name="eventos-desencadenantes"/>
    <w:p>
      <w:pPr>
        <w:pStyle w:val="Heading2"/>
      </w:pPr>
      <w:r>
        <w:t xml:space="preserve">Eventos desencadenantes</w:t>
      </w:r>
    </w:p>
    <w:p>
      <w:pPr>
        <w:pStyle w:val="Compact"/>
        <w:numPr>
          <w:ilvl w:val="0"/>
          <w:numId w:val="1001"/>
        </w:numPr>
      </w:pPr>
      <w:r>
        <w:t xml:space="preserve">El participante cambia los gases seleccionados.</w:t>
      </w:r>
    </w:p>
    <w:p>
      <w:pPr>
        <w:pStyle w:val="Compact"/>
        <w:numPr>
          <w:ilvl w:val="0"/>
          <w:numId w:val="1002"/>
        </w:numPr>
      </w:pPr>
      <w:r>
        <w:t xml:space="preserve">El participante agrega/reemplaza un analizador.</w:t>
      </w:r>
    </w:p>
    <w:p>
      <w:pPr>
        <w:pStyle w:val="Compact"/>
        <w:numPr>
          <w:ilvl w:val="0"/>
          <w:numId w:val="1003"/>
        </w:numPr>
      </w:pPr>
      <w:r>
        <w:t xml:space="preserve">El participante se retira.</w:t>
      </w:r>
    </w:p>
    <w:p>
      <w:pPr>
        <w:pStyle w:val="Compact"/>
        <w:numPr>
          <w:ilvl w:val="0"/>
          <w:numId w:val="1004"/>
        </w:numPr>
      </w:pPr>
      <w:r>
        <w:t xml:space="preserve">CALAIRE-EA aplaza o cancela.</w:t>
      </w:r>
    </w:p>
    <w:p>
      <w:pPr>
        <w:pStyle w:val="Compact"/>
        <w:numPr>
          <w:ilvl w:val="0"/>
          <w:numId w:val="1005"/>
        </w:numPr>
      </w:pPr>
      <w:r>
        <w:t xml:space="preserve">No se alcanza la inscripción mínima.</w:t>
      </w:r>
    </w:p>
    <w:p>
      <w:pPr>
        <w:pStyle w:val="Compact"/>
        <w:numPr>
          <w:ilvl w:val="0"/>
          <w:numId w:val="1006"/>
        </w:numPr>
      </w:pPr>
      <w:r>
        <w:t xml:space="preserve">Cambio de fechas o instalaciones.</w:t>
      </w:r>
    </w:p>
    <w:p>
      <w:pPr>
        <w:pStyle w:val="Compact"/>
        <w:numPr>
          <w:ilvl w:val="0"/>
          <w:numId w:val="1007"/>
        </w:numPr>
      </w:pPr>
      <w:r>
        <w:t xml:space="preserve">Una situación de fuerza mayor afecta la participación.</w:t>
      </w:r>
    </w:p>
    <w:p>
      <w:pPr>
        <w:pStyle w:val="Compact"/>
        <w:numPr>
          <w:ilvl w:val="0"/>
          <w:numId w:val="1008"/>
        </w:numPr>
      </w:pPr>
      <w:r>
        <w:t xml:space="preserve">Se solicita un reembolso o una nota crédito.</w:t>
      </w:r>
    </w:p>
    <w:p>
      <w:pPr>
        <w:pStyle w:val="Compact"/>
        <w:numPr>
          <w:ilvl w:val="0"/>
          <w:numId w:val="1009"/>
        </w:numPr>
      </w:pPr>
      <w:r>
        <w:t xml:space="preserve">El proveedor identifica un error sustancial en el informe (activa la cadena CS-13 → CS-12).</w:t>
      </w:r>
    </w:p>
    <w:bookmarkEnd w:id="10"/>
    <w:bookmarkStart w:id="11" w:name="registro-mínimo"/>
    <w:p>
      <w:pPr>
        <w:pStyle w:val="Heading2"/>
      </w:pPr>
      <w:r>
        <w:t xml:space="preserve">Registro mínimo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del registro</w:t>
            </w:r>
          </w:p>
        </w:tc>
        <w:tc>
          <w:tcPr/>
          <w:p>
            <w:pPr>
              <w:pStyle w:val="Compact"/>
            </w:pPr>
            <w:r>
              <w:t xml:space="preserve">[POR DILIGENCIAR — único]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apertura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 de la ronda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 de la cotización original (familia + revisión)</w:t>
            </w:r>
          </w:p>
        </w:tc>
        <w:tc>
          <w:tcPr/>
          <w:p>
            <w:pPr>
              <w:pStyle w:val="Compact"/>
            </w:pPr>
            <w:r>
              <w:t xml:space="preserve">[POR DILIGENCIAR — p. ej., Q-2026-0042 rev. 0; necesaria para la trazabilidad de las condiciones reemplazadas]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 de la cotización revisada (si aplica)</w:t>
            </w:r>
          </w:p>
        </w:tc>
        <w:tc>
          <w:tcPr/>
          <w:p>
            <w:pPr>
              <w:pStyle w:val="Compact"/>
            </w:pPr>
            <w:r>
              <w:t xml:space="preserve">[POR DILIGENCIAR — p. ej., Q-2026-0042 rev. 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de factura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de nota crédito (si aplica)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Tarifa aplicable según la lista de tarifas de la Sección 8 CS-01</w:t>
            </w:r>
          </w:p>
        </w:tc>
        <w:tc>
          <w:tcPr/>
          <w:p>
            <w:pPr>
              <w:pStyle w:val="Compact"/>
            </w:pPr>
            <w:r>
              <w:t xml:space="preserve">[POR DILIGENCIAR — por ejemplo,</w:t>
            </w:r>
            <w:r>
              <w:t xml:space="preserve"> </w:t>
            </w:r>
            <w:r>
              <w:t xml:space="preserve">“30 % de retención por retiro ≥ 30 días antes del inicio de la ronda”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Compromiso original</w:t>
            </w:r>
          </w:p>
        </w:tc>
        <w:tc>
          <w:tcPr/>
          <w:p>
            <w:pPr>
              <w:pStyle w:val="Compact"/>
            </w:pPr>
            <w:r>
              <w:t xml:space="preserve">[POR DILIGENCIAR — gases, analizadores, fechas, precio]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solicitado o impuesto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Cláusula contractual aplicable</w:t>
            </w:r>
          </w:p>
        </w:tc>
        <w:tc>
          <w:tcPr/>
          <w:p>
            <w:pPr>
              <w:pStyle w:val="Compact"/>
            </w:pPr>
            <w:r>
              <w:t xml:space="preserve">[POR DILIGENCIAR — referencia a la cláusula de CS-08]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 técnico/capacidad</w:t>
            </w:r>
          </w:p>
        </w:tc>
        <w:tc>
          <w:tcPr/>
          <w:p>
            <w:pPr>
              <w:pStyle w:val="Compact"/>
            </w:pPr>
            <w:r>
              <w:t xml:space="preserve">[POR DILIGENCIAR — efecto en la planificación circular; por ejemplo,</w:t>
            </w:r>
            <w:r>
              <w:t xml:space="preserve"> </w:t>
            </w:r>
            <w:r>
              <w:t xml:space="preserve">“libera 1 posición CO”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 en la viabilidad de la ronda</w:t>
            </w:r>
          </w:p>
        </w:tc>
        <w:tc>
          <w:tcPr/>
          <w:p>
            <w:pPr>
              <w:pStyle w:val="Compact"/>
            </w:pPr>
            <w:r>
              <w:t xml:space="preserve">[POR DILIGENCIAR — según la pestaña 7 de CS-04:</w:t>
            </w:r>
            <w:r>
              <w:t xml:space="preserve"> </w:t>
            </w:r>
            <w:r>
              <w:t xml:space="preserve">“la viabilidad cae por debajo del mínimo”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“aún es viable”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Cálculo de tarifas, reembolsos o créditos</w:t>
            </w:r>
          </w:p>
        </w:tc>
        <w:tc>
          <w:tcPr/>
          <w:p>
            <w:pPr>
              <w:pStyle w:val="Compact"/>
            </w:pPr>
            <w:r>
              <w:t xml:space="preserve">[POR DILIGENCIAR — línea por línea: precio original, tarifa, monto del reembolso, monto del crédito, moneda, tipo de cambio]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Compromiso de tiempo de procesamiento de reembolso</w:t>
            </w:r>
          </w:p>
        </w:tc>
        <w:tc>
          <w:tcPr/>
          <w:p>
            <w:pPr>
              <w:pStyle w:val="Compact"/>
            </w:pPr>
            <w:r>
              <w:t xml:space="preserve">[POR DILIGENCIAR — según CS-01 Sección 8: por ejemplo, 30 días hábiles desde la aprobación]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Validez de la nota de crédito</w:t>
            </w:r>
          </w:p>
        </w:tc>
        <w:tc>
          <w:tcPr/>
          <w:p>
            <w:pPr>
              <w:pStyle w:val="Compact"/>
            </w:pPr>
            <w:r>
              <w:t xml:space="preserve">[POR DILIGENCIAR — según CS-01 Sección 8: por ejemplo, 12 meses desde la emisión]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[POR DILIGENCIAR — aprobado / rechazado / pendiente]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Decisión autorizada por (comercial)</w:t>
            </w:r>
          </w:p>
        </w:tc>
        <w:tc>
          <w:tcPr/>
          <w:p>
            <w:pPr>
              <w:pStyle w:val="Compact"/>
            </w:pPr>
            <w:r>
              <w:t xml:space="preserve">[POR DILIGENCIAR — nombre y fecha]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Decisión autorizada por (finanzas o gestión)</w:t>
            </w:r>
          </w:p>
        </w:tc>
        <w:tc>
          <w:tcPr/>
          <w:p>
            <w:pPr>
              <w:pStyle w:val="Compact"/>
            </w:pPr>
            <w:r>
              <w:t xml:space="preserve">[POR DILIGENCIAR — NOMBRE, FECHA] —</w:t>
            </w:r>
            <w:r>
              <w:t xml:space="preserve"> </w:t>
            </w:r>
            <w:r>
              <w:rPr>
                <w:b/>
                <w:bCs/>
              </w:rPr>
              <w:t xml:space="preserve">se requiere doble autorización para cualquier decisión financiera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notificación al cliente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actualizada del rastreador</w:t>
            </w:r>
          </w:p>
        </w:tc>
        <w:tc>
          <w:tcPr/>
          <w:p>
            <w:pPr>
              <w:pStyle w:val="Compact"/>
            </w:pPr>
            <w:r>
              <w:t xml:space="preserve">[POR DILIGENCIAR — fila de CS-10 actualizada]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actualizada de cotización</w:t>
            </w:r>
          </w:p>
        </w:tc>
        <w:tc>
          <w:tcPr/>
          <w:p>
            <w:pPr>
              <w:pStyle w:val="Compact"/>
            </w:pPr>
            <w:r>
              <w:t xml:space="preserve">[POR DILIGENCIAR — número de cotización revisada, si aplica]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actualizada de factura</w:t>
            </w:r>
          </w:p>
        </w:tc>
        <w:tc>
          <w:tcPr/>
          <w:p>
            <w:pPr>
              <w:pStyle w:val="Compact"/>
            </w:pPr>
            <w:r>
              <w:t xml:space="preserve">[POR DILIGENCIAR — nota crédito o factura nueva]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actualizada de inscripción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cierre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 autorizado por</w:t>
            </w:r>
          </w:p>
        </w:tc>
        <w:tc>
          <w:tcPr/>
          <w:p>
            <w:pPr>
              <w:pStyle w:val="Compact"/>
            </w:pPr>
            <w:r>
              <w:t xml:space="preserve">[POR DILIGENCIAR — NOMBRE, FECHA]</w:t>
            </w:r>
          </w:p>
        </w:tc>
      </w:tr>
    </w:tbl>
    <w:bookmarkEnd w:id="11"/>
    <w:bookmarkStart w:id="12" w:name="controles"/>
    <w:p>
      <w:pPr>
        <w:pStyle w:val="Heading2"/>
      </w:pPr>
      <w:r>
        <w:t xml:space="preserve">Controles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Las decisiones financieras requieren doble autorización</w:t>
      </w:r>
      <w:r>
        <w:t xml:space="preserve"> </w:t>
      </w:r>
      <w:r>
        <w:t xml:space="preserve">(comercial + financiera o de gestión). Los cambios de autoridad única no son válidos.</w:t>
      </w:r>
    </w:p>
    <w:p>
      <w:pPr>
        <w:pStyle w:val="Compact"/>
        <w:numPr>
          <w:ilvl w:val="0"/>
          <w:numId w:val="1010"/>
        </w:numPr>
      </w:pPr>
      <w:r>
        <w:t xml:space="preserve">Los cambios de capacidad se reflejan inmediatamente en CS-10 (sin actualizaciones por lotes).</w:t>
      </w:r>
    </w:p>
    <w:p>
      <w:pPr>
        <w:pStyle w:val="Compact"/>
        <w:numPr>
          <w:ilvl w:val="0"/>
          <w:numId w:val="1010"/>
        </w:numPr>
      </w:pPr>
      <w:r>
        <w:t xml:space="preserve">Las revisiones de cotizaciones siguen las reglas de control de cotizaciones CS-06. Se debe citar la familia de cotizaciones original + revisión.</w:t>
      </w:r>
    </w:p>
    <w:p>
      <w:pPr>
        <w:pStyle w:val="Compact"/>
        <w:numPr>
          <w:ilvl w:val="0"/>
          <w:numId w:val="1010"/>
        </w:numPr>
      </w:pPr>
      <w:r>
        <w:t xml:space="preserve">Tiempo de procesamiento de reembolso según CS-01 Sección 8 (normalmente 30 días hábiles desde la aprobación); cualquier retraso más allá del compromiso requiere notificación al cliente con la fecha revisada.</w:t>
      </w:r>
    </w:p>
    <w:p>
      <w:pPr>
        <w:pStyle w:val="Compact"/>
        <w:numPr>
          <w:ilvl w:val="0"/>
          <w:numId w:val="1010"/>
        </w:numPr>
      </w:pPr>
      <w:r>
        <w:t xml:space="preserve">Las notas de crédito tienen un período de validez según CS-01 Sección 8; Las notas de crédito vencidas no se aceptan sin la reautorización de la gerencia.</w:t>
      </w:r>
    </w:p>
    <w:p>
      <w:pPr>
        <w:pStyle w:val="Compact"/>
        <w:numPr>
          <w:ilvl w:val="0"/>
          <w:numId w:val="1010"/>
        </w:numPr>
      </w:pPr>
      <w:r>
        <w:t xml:space="preserve">Las quejas técnicas o no conformidades identificadas durante un cambio se encaminan a los controles PEAS existentes (</w:t>
      </w:r>
      <w:r>
        <w:rPr>
          <w:rStyle w:val="VerbatimChar"/>
        </w:rPr>
        <w:t xml:space="preserve">P-PSEA-15</w:t>
      </w:r>
      <w:r>
        <w:t xml:space="preserve"> </w:t>
      </w:r>
      <w:r>
        <w:t xml:space="preserve">NC/CAPA,</w:t>
      </w:r>
      <w:r>
        <w:t xml:space="preserve"> </w:t>
      </w:r>
      <w:r>
        <w:rPr>
          <w:rStyle w:val="VerbatimChar"/>
        </w:rPr>
        <w:t xml:space="preserve">P-PSEA-16</w:t>
      </w:r>
      <w:r>
        <w:t xml:space="preserve"> </w:t>
      </w:r>
      <w:r>
        <w:t xml:space="preserve">valores sensibles).</w:t>
      </w:r>
    </w:p>
    <w:p>
      <w:pPr>
        <w:pStyle w:val="Compact"/>
        <w:numPr>
          <w:ilvl w:val="0"/>
          <w:numId w:val="1010"/>
        </w:numPr>
      </w:pPr>
      <w:r>
        <w:t xml:space="preserve">Si un cambio es provocado por un error sustancial del informe (CS-13), el registro CS-12 debe hacer referencia al identificador del informe CS-13 y a la nota de corrección de cambio CS-13.</w:t>
      </w:r>
    </w:p>
    <w:p>
      <w:pPr>
        <w:pStyle w:val="Compact"/>
        <w:numPr>
          <w:ilvl w:val="0"/>
          <w:numId w:val="1010"/>
        </w:numPr>
      </w:pPr>
      <w:r>
        <w:t xml:space="preserve">Trazabilidad de la cotización original: cada registro CS-12 debe citar la familia de cotización original + revisión. Esto protege contra disputas sobre qué términos se aplicaban en el momento del compromiso original.</w:t>
      </w:r>
    </w:p>
    <w:bookmarkEnd w:id="12"/>
    <w:bookmarkStart w:id="13" w:name="referencia-al-catálogo-de-tarifas"/>
    <w:p>
      <w:pPr>
        <w:pStyle w:val="Heading2"/>
      </w:pPr>
      <w:r>
        <w:t xml:space="preserve">Referencia al catálogo de tarifas</w:t>
      </w:r>
    </w:p>
    <w:p>
      <w:pPr>
        <w:pStyle w:val="FirstParagraph"/>
      </w:pPr>
      <w:r>
        <w:t xml:space="preserve">La lista de tarifas aplicada en este registro se define en CS-01 Sección 8. El resumen de tarifas típicas: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Tarifa / reembolso habitual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Retiro de participantes ≥ N días antes del inicio de la ronda</w:t>
            </w:r>
          </w:p>
        </w:tc>
        <w:tc>
          <w:tcPr/>
          <w:p>
            <w:pPr>
              <w:pStyle w:val="Compact"/>
            </w:pPr>
            <w:r>
              <w:t xml:space="preserve">[POR DILIGENCIAR — % de retención o tarifa fija]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Retiro de participantes &lt; N días antes del inicio de la ronda</w:t>
            </w:r>
          </w:p>
        </w:tc>
        <w:tc>
          <w:tcPr/>
          <w:p>
            <w:pPr>
              <w:pStyle w:val="Compact"/>
            </w:pPr>
            <w:r>
              <w:t xml:space="preserve">[POR DILIGENCIAR — mayor porcentaje de retención]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 no presentado</w:t>
            </w:r>
          </w:p>
        </w:tc>
        <w:tc>
          <w:tcPr/>
          <w:p>
            <w:pPr>
              <w:pStyle w:val="Compact"/>
            </w:pPr>
            <w:r>
              <w:t xml:space="preserve">[POR DILIGENCIAR — sin reembolso]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Aplazamiento del proveedor</w:t>
            </w:r>
          </w:p>
        </w:tc>
        <w:tc>
          <w:tcPr/>
          <w:p>
            <w:pPr>
              <w:pStyle w:val="Compact"/>
            </w:pPr>
            <w:r>
              <w:t xml:space="preserve">[POR DILIGENCIAR — espacio reservado o reembolso completo a elección del cliente]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Cancelación de proveedor (inscripción mínima no cumplida)</w:t>
            </w:r>
          </w:p>
        </w:tc>
        <w:tc>
          <w:tcPr/>
          <w:p>
            <w:pPr>
              <w:pStyle w:val="Compact"/>
            </w:pPr>
            <w:r>
              <w:t xml:space="preserve">[POR DILIGENCIAR — reembolso completo o nota de crédito, elección del cliente]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Fuerza mayor</w:t>
            </w:r>
          </w:p>
        </w:tc>
        <w:tc>
          <w:tcPr/>
          <w:p>
            <w:pPr>
              <w:pStyle w:val="Compact"/>
            </w:pPr>
            <w:r>
              <w:t xml:space="preserve">[POR DILIGENCIAR — reembolso prorrateado o nota de crédito, elección del cliente]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 informe sustancial (activador CS-13)</w:t>
            </w:r>
          </w:p>
        </w:tc>
        <w:tc>
          <w:tcPr/>
          <w:p>
            <w:pPr>
              <w:pStyle w:val="Compact"/>
            </w:pPr>
            <w:r>
              <w:t xml:space="preserve">[POR DILIGENCIAR — normalmente reembolso completo de la tarifa de ronda + reemisión gratuita]</w:t>
            </w:r>
          </w:p>
        </w:tc>
      </w:tr>
    </w:tbl>
    <w:p>
      <w:pPr>
        <w:pStyle w:val="BodyText"/>
      </w:pPr>
      <w:r>
        <w:t xml:space="preserve">Ver CS-01 Sección 8 para conocer los valores autorizados y las reglas de decisión.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2026-07-16T14:37:59Z</dcterms:created>
  <dcterms:modified xsi:type="dcterms:W3CDTF">2026-07-16T14:37:59Z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