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d95e9ae45ee3e50fff68bd98ab74ed6b7c3323"/>
    <w:p>
      <w:pPr>
        <w:pStyle w:val="Heading1"/>
      </w:pPr>
      <w:r>
        <w:t xml:space="preserve">CS-13 — Mensaje de participación y entrega del informe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Líder técnico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(entrega alineada con la ruta del informe final directo)</w:t>
      </w:r>
      <w:r>
        <w:t xml:space="preserve"> </w:t>
      </w:r>
      <w:r>
        <w:rPr>
          <w:b/>
          <w:bCs/>
        </w:rPr>
        <w:t xml:space="preserve">Referencia de códigos del SGC: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. El informe final está en</w:t>
      </w:r>
      <w:r>
        <w:t xml:space="preserve"> </w:t>
      </w:r>
      <w:r>
        <w:rPr>
          <w:rStyle w:val="VerbatimChar"/>
        </w:rPr>
        <w:t xml:space="preserve">F-PSEA-13</w:t>
      </w:r>
      <w:r>
        <w:t xml:space="preserve"> </w:t>
      </w:r>
      <w:r>
        <w:t xml:space="preserve">(código vigente tras la renumeración del 2026-06-14; antes</w:t>
      </w:r>
      <w:r>
        <w:t xml:space="preserve"> </w:t>
      </w:r>
      <w:r>
        <w:rPr>
          <w:rStyle w:val="VerbatimChar"/>
        </w:rPr>
        <w:t xml:space="preserve">F-PSEA-04</w:t>
      </w:r>
      <w:r>
        <w:t xml:space="preserve">).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Completar la entrega al cliente de manera consistente. El SGC ya controla el informe técnico a través de</w:t>
      </w:r>
      <w:r>
        <w:t xml:space="preserve"> </w:t>
      </w:r>
      <w:r>
        <w:rPr>
          <w:rStyle w:val="VerbatimChar"/>
        </w:rPr>
        <w:t xml:space="preserve">P-PSEA-09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F-PSEA-13</w:t>
      </w:r>
      <w:r>
        <w:t xml:space="preserve">. La capa comercial solo necesita un mensaje de entrega controlada y, si aún no está cubierto, una declaración de participación.</w:t>
      </w:r>
    </w:p>
    <w:bookmarkEnd w:id="9"/>
    <w:bookmarkStart w:id="13" w:name="mensaje-de-entrega"/>
    <w:p>
      <w:pPr>
        <w:pStyle w:val="Heading2"/>
      </w:pPr>
      <w:r>
        <w:t xml:space="preserve">Mensaje de entrega</w:t>
      </w:r>
    </w:p>
    <w:bookmarkStart w:id="10" w:name="campos-obligatorios"/>
    <w:p>
      <w:pPr>
        <w:pStyle w:val="Heading3"/>
      </w:pPr>
      <w:r>
        <w:t xml:space="preserve">Campos obligatorios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participante y ronda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Identificador/versión del informe adjunto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Aviso de confidencialidad</w:t>
            </w:r>
          </w:p>
        </w:tc>
        <w:tc>
          <w:tcPr/>
          <w:p>
            <w:pPr>
              <w:pStyle w:val="Compact"/>
            </w:pPr>
            <w:r>
              <w:t xml:space="preserve">[POR DILIGENCIAR — texto estándar:</w:t>
            </w:r>
            <w:r>
              <w:t xml:space="preserve"> </w:t>
            </w:r>
            <w:r>
              <w:t xml:space="preserve">“Este informe es confidencial y está destinado únicamente al participante designado. La distribución a terceros requiere autorización por escrito de CALAIRE-EA.”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del informe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 de apelación</w:t>
            </w:r>
          </w:p>
        </w:tc>
        <w:tc>
          <w:tcPr/>
          <w:p>
            <w:pPr>
              <w:pStyle w:val="Compact"/>
            </w:pPr>
            <w:r>
              <w:t xml:space="preserve">[POR DILIGENCIAR — 14 días calendario desde la emisión final según P-PSEA-18]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Instrucciones de acceso seguro o entrega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Recordatorio de uso de informes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Texto estándar: NO lo modifique sin la aprobación CS-01. Ver bloque abajo.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Contactos comerciales y técnicos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</w:tbl>
    <w:bookmarkEnd w:id="10"/>
    <w:bookmarkStart w:id="11" w:name="X86109fe23008063c82c8692ff837da739e4bfbd"/>
    <w:p>
      <w:pPr>
        <w:pStyle w:val="Heading3"/>
      </w:pPr>
      <w:r>
        <w:t xml:space="preserve">Recordatorio de uso de informe estándar (uso sin cambios)</w:t>
      </w:r>
    </w:p>
    <w:p>
      <w:pPr>
        <w:pStyle w:val="BlockText"/>
      </w:pPr>
      <w:r>
        <w:t xml:space="preserve">“El participante podrá declarar que participó en la Ronda CALAIRE-EA [ID] para los gases [LISTA]. No podrá declarar ni dar a entender que CALAIRE-EA está acreditada, que la ronda está acreditada o que el participante es técnicamente competente únicamente en virtud de su participación. El informe debe utilizarse íntegramente y sin representaciones engañosas de sus resultados o alcance. La evaluación detallada del desempeño se proporciona en el informe técnico separado. La distribución de este informe o su contenido a terceros requiere autorización escrita de CALAIRE-EA.”</w:t>
      </w:r>
    </w:p>
    <w:p>
      <w:pPr>
        <w:pStyle w:val="FirstParagraph"/>
      </w:pPr>
      <w:r>
        <w:t xml:space="preserve">Este texto coincide con la redacción aprobada en CS-01 apartado 9 (“Uso del informe”). Cualquier modificación debe aprobarse tanto en CS-01 como en CS-13 en la misma revisión para evitar divergencias.</w:t>
      </w:r>
    </w:p>
    <w:bookmarkEnd w:id="11"/>
    <w:bookmarkStart w:id="12" w:name="plantilla-informe-final"/>
    <w:p>
      <w:pPr>
        <w:pStyle w:val="Heading3"/>
      </w:pPr>
      <w:r>
        <w:t xml:space="preserve">Plantilla: informe final</w:t>
      </w:r>
    </w:p>
    <w:p>
      <w:pPr>
        <w:pStyle w:val="SourceCode"/>
      </w:pPr>
      <w:r>
        <w:rPr>
          <w:rStyle w:val="VerbatimChar"/>
        </w:rPr>
        <w:t xml:space="preserve">Asunto: CALAIRE-EA — Ronda [ID] — Participante [CÓDIGO] — Informe final</w:t>
      </w:r>
      <w:r>
        <w:br/>
      </w:r>
      <w:r>
        <w:br/>
      </w:r>
      <w:r>
        <w:rPr>
          <w:rStyle w:val="VerbatimChar"/>
        </w:rPr>
        <w:t xml:space="preserve">Estimado/a [CONTACTO]:</w:t>
      </w:r>
      <w:r>
        <w:br/>
      </w:r>
      <w:r>
        <w:br/>
      </w:r>
      <w:r>
        <w:rPr>
          <w:rStyle w:val="VerbatimChar"/>
        </w:rPr>
        <w:t xml:space="preserve">Adjuntamos el informe final de la ronda [ID].</w:t>
      </w:r>
      <w:r>
        <w:br/>
      </w:r>
      <w:r>
        <w:br/>
      </w:r>
      <w:r>
        <w:rPr>
          <w:rStyle w:val="VerbatimChar"/>
        </w:rPr>
        <w:t xml:space="preserve">ID del informe: [ID]</w:t>
      </w:r>
      <w:r>
        <w:br/>
      </w:r>
      <w:r>
        <w:rPr>
          <w:rStyle w:val="VerbatimChar"/>
        </w:rPr>
        <w:t xml:space="preserve">Estado: FINAL</w:t>
      </w:r>
      <w:r>
        <w:br/>
      </w:r>
      <w:r>
        <w:br/>
      </w:r>
      <w:r>
        <w:rPr>
          <w:rStyle w:val="VerbatimChar"/>
        </w:rPr>
        <w:t xml:space="preserve">Los comentarios o apelaciones deben presentarse dentro de los 14 días calendario</w:t>
      </w:r>
      <w:r>
        <w:br/>
      </w:r>
      <w:r>
        <w:rPr>
          <w:rStyle w:val="VerbatimChar"/>
        </w:rPr>
        <w:t xml:space="preserve">siguientes a la emisión, conforme a P-PSEA-18. Toda corrección aceptada se controla</w:t>
      </w:r>
      <w:r>
        <w:br/>
      </w:r>
      <w:r>
        <w:rPr>
          <w:rStyle w:val="VerbatimChar"/>
        </w:rPr>
        <w:t xml:space="preserve">como una revisión del informe final; no existe una etapa de informe preliminar.</w:t>
      </w:r>
      <w:r>
        <w:br/>
      </w:r>
      <w:r>
        <w:br/>
      </w:r>
      <w:r>
        <w:rPr>
          <w:rStyle w:val="VerbatimChar"/>
        </w:rPr>
        <w:t xml:space="preserve">RECORDATORIO SOBRE EL USO DEL INFORME (estándar):</w:t>
      </w:r>
      <w:r>
        <w:br/>
      </w:r>
      <w:r>
        <w:rPr>
          <w:rStyle w:val="VerbatimChar"/>
        </w:rPr>
        <w:t xml:space="preserve">El participante podrá declarar que participó en la Ronda CALAIRE-EA [ID] para los gases [LISTA]. No podrá declarar ni dar a entender que CALAIRE-EA está acreditada, que la ronda está acreditada o que el participante es técnicamente competente únicamente en virtud de su participación. El informe debe utilizarse íntegramente y sin representaciones engañosas de sus resultados o alcance. La evaluación detallada del desempeño se proporciona en el informe técnico separado. La distribución de este informe o su contenido a terceros requiere autorización escrita de CALAIRE-EA.</w:t>
      </w:r>
      <w:r>
        <w:br/>
      </w:r>
      <w:r>
        <w:br/>
      </w:r>
      <w:r>
        <w:rPr>
          <w:rStyle w:val="VerbatimChar"/>
        </w:rPr>
        <w:t xml:space="preserve">Si se requiere, se adjunta por separado una declaración de participación.</w:t>
      </w:r>
      <w:r>
        <w:br/>
      </w:r>
      <w:r>
        <w:br/>
      </w:r>
      <w:r>
        <w:rPr>
          <w:rStyle w:val="VerbatimChar"/>
        </w:rPr>
        <w:t xml:space="preserve">Consultas técnicas: [CONTACTO TÉCNICO]</w:t>
      </w:r>
      <w:r>
        <w:br/>
      </w:r>
      <w:r>
        <w:rPr>
          <w:rStyle w:val="VerbatimChar"/>
        </w:rPr>
        <w:t xml:space="preserve">Consultas comerciales: [CONTACTO COMERCIAL]</w:t>
      </w:r>
    </w:p>
    <w:bookmarkEnd w:id="12"/>
    <w:bookmarkEnd w:id="13"/>
    <w:bookmarkStart w:id="14" w:name="gestión-de-la-falta-de-recepción"/>
    <w:p>
      <w:pPr>
        <w:pStyle w:val="Heading2"/>
      </w:pPr>
      <w:r>
        <w:t xml:space="preserve">Gestión de la falta de recepción</w:t>
      </w:r>
    </w:p>
    <w:p>
      <w:pPr>
        <w:pStyle w:val="FirstParagraph"/>
      </w:pPr>
      <w:r>
        <w:t xml:space="preserve">Si el correo electrónico del informe rebota o no se recibe acuse de recibo dentro de los 5 días hábiles:</w:t>
      </w:r>
    </w:p>
    <w:p>
      <w:pPr>
        <w:pStyle w:val="Compact"/>
        <w:numPr>
          <w:ilvl w:val="0"/>
          <w:numId w:val="1001"/>
        </w:numPr>
      </w:pPr>
      <w:r>
        <w:t xml:space="preserve">La Directora del grupo verifica la dirección de correo electrónico con los registros CS-07 y CS-11.</w:t>
      </w:r>
    </w:p>
    <w:p>
      <w:pPr>
        <w:pStyle w:val="Compact"/>
        <w:numPr>
          <w:ilvl w:val="0"/>
          <w:numId w:val="1001"/>
        </w:numPr>
      </w:pPr>
      <w:r>
        <w:t xml:space="preserve">Reenvía el informe por el canal alternativo registrado en CS-11 (correo electrónico registrado, portal o correo postal para clientes internacionales).</w:t>
      </w:r>
    </w:p>
    <w:p>
      <w:pPr>
        <w:pStyle w:val="Compact"/>
        <w:numPr>
          <w:ilvl w:val="0"/>
          <w:numId w:val="1001"/>
        </w:numPr>
      </w:pPr>
      <w:r>
        <w:t xml:space="preserve">Si aún no se recibe confirmación dentro de los 5 días hábiles adicionales, pase al contacto comercial.</w:t>
      </w:r>
    </w:p>
    <w:p>
      <w:pPr>
        <w:pStyle w:val="Compact"/>
        <w:numPr>
          <w:ilvl w:val="0"/>
          <w:numId w:val="1001"/>
        </w:numPr>
      </w:pPr>
      <w:r>
        <w:t xml:space="preserve">Documentar la incidencia en CS-12 (registro de cambio/cancelación) con clasificación</w:t>
      </w:r>
      <w:r>
        <w:t xml:space="preserve"> </w:t>
      </w:r>
      <w:r>
        <w:t xml:space="preserve">“no-recepción”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marque el informe como</w:t>
      </w:r>
      <w:r>
        <w:t xml:space="preserve"> </w:t>
      </w:r>
      <w:r>
        <w:t xml:space="preserve">“entregado”</w:t>
      </w:r>
      <w:r>
        <w:t xml:space="preserve"> </w:t>
      </w:r>
      <w:r>
        <w:t xml:space="preserve">en CS-10 hasta que esté archivado un recibo confirmado (recibo de lectura, entrega firmada o acuse de recibo explícito).</w:t>
      </w:r>
    </w:p>
    <w:bookmarkEnd w:id="14"/>
    <w:bookmarkStart w:id="15" w:name="retención"/>
    <w:p>
      <w:pPr>
        <w:pStyle w:val="Heading2"/>
      </w:pPr>
      <w:r>
        <w:t xml:space="preserve">Retención</w:t>
      </w:r>
    </w:p>
    <w:p>
      <w:pPr>
        <w:pStyle w:val="FirstParagraph"/>
      </w:pPr>
      <w:r>
        <w:t xml:space="preserve">Los informes finales y el registro de entrega correspondiente se conservan en el almacenamiento controlado del SGC durante un mínimo de 5 años según los requisitos de retención de registros de ISO/IEC 17043. Los registros de entrega comercial (fecha, contacto, canal) se conservan en CS-10 durante el mismo período.</w:t>
      </w:r>
    </w:p>
    <w:bookmarkEnd w:id="15"/>
    <w:bookmarkStart w:id="16" w:name="enlace-a-cs-12-cambiocancelación"/>
    <w:p>
      <w:pPr>
        <w:pStyle w:val="Heading2"/>
      </w:pPr>
      <w:r>
        <w:t xml:space="preserve">Enlace a CS-12 (cambio/cancelación)</w:t>
      </w:r>
    </w:p>
    <w:p>
      <w:pPr>
        <w:pStyle w:val="FirstParagraph"/>
      </w:pPr>
      <w:r>
        <w:t xml:space="preserve">Si un comentario o apelación en el informe final identifica un error que requiere acción comercial (cambio de alcance, cambio de tarifa, días de ronda adicionales), el contacto comercial debe:</w:t>
      </w:r>
    </w:p>
    <w:p>
      <w:pPr>
        <w:pStyle w:val="Compact"/>
        <w:numPr>
          <w:ilvl w:val="0"/>
          <w:numId w:val="1002"/>
        </w:numPr>
      </w:pPr>
      <w:r>
        <w:t xml:space="preserve">Abrir un registro CS-12 con el disparador</w:t>
      </w:r>
      <w:r>
        <w:t xml:space="preserve"> </w:t>
      </w:r>
      <w:r>
        <w:t xml:space="preserve">“cambio de alcance/fecha/tarifa”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Actualizar CS-10 (estado comercial) para reflejar el cambio en curso.</w:t>
      </w:r>
    </w:p>
    <w:p>
      <w:pPr>
        <w:pStyle w:val="Compact"/>
        <w:numPr>
          <w:ilvl w:val="0"/>
          <w:numId w:val="1002"/>
        </w:numPr>
      </w:pPr>
      <w:r>
        <w:t xml:space="preserve">Emitir una cotización revisada (revisión CS-06) si las tarifas cambian.</w:t>
      </w:r>
    </w:p>
    <w:p>
      <w:pPr>
        <w:pStyle w:val="Compact"/>
        <w:numPr>
          <w:ilvl w:val="0"/>
          <w:numId w:val="1002"/>
        </w:numPr>
      </w:pPr>
      <w:r>
        <w:t xml:space="preserve">Cerrar el registro CS-12 una vez emitida la revisión controlada del informe final o resuelto el cambio.</w:t>
      </w:r>
    </w:p>
    <w:bookmarkEnd w:id="16"/>
    <w:bookmarkStart w:id="20" w:name="declaración-de-participación"/>
    <w:p>
      <w:pPr>
        <w:pStyle w:val="Heading2"/>
      </w:pPr>
      <w:r>
        <w:t xml:space="preserve">Declaración de participación</w:t>
      </w:r>
    </w:p>
    <w:p>
      <w:pPr>
        <w:pStyle w:val="FirstParagraph"/>
      </w:pPr>
      <w:r>
        <w:t xml:space="preserve">Si aún no está cubierto por el informe del SGC, se podrá emitir una declaración de participación por separado.</w:t>
      </w:r>
    </w:p>
    <w:bookmarkStart w:id="17" w:name="contenido-permitido"/>
    <w:p>
      <w:pPr>
        <w:pStyle w:val="Heading3"/>
      </w:pPr>
      <w:r>
        <w:t xml:space="preserve">Contenido permitido</w:t>
      </w:r>
    </w:p>
    <w:p>
      <w:pPr>
        <w:pStyle w:val="Compact"/>
        <w:numPr>
          <w:ilvl w:val="0"/>
          <w:numId w:val="1003"/>
        </w:numPr>
      </w:pPr>
      <w:r>
        <w:t xml:space="preserve">Nombre de la organización</w:t>
      </w:r>
    </w:p>
    <w:p>
      <w:pPr>
        <w:pStyle w:val="Compact"/>
        <w:numPr>
          <w:ilvl w:val="0"/>
          <w:numId w:val="1003"/>
        </w:numPr>
      </w:pPr>
      <w:r>
        <w:t xml:space="preserve">ID de ronda y fecha</w:t>
      </w:r>
    </w:p>
    <w:p>
      <w:pPr>
        <w:pStyle w:val="Compact"/>
        <w:numPr>
          <w:ilvl w:val="0"/>
          <w:numId w:val="1003"/>
        </w:numPr>
      </w:pPr>
      <w:r>
        <w:t xml:space="preserve">Identificador del analizador</w:t>
      </w:r>
    </w:p>
    <w:p>
      <w:pPr>
        <w:pStyle w:val="Compact"/>
        <w:numPr>
          <w:ilvl w:val="0"/>
          <w:numId w:val="1003"/>
        </w:numPr>
      </w:pPr>
      <w:r>
        <w:t xml:space="preserve">Gases seleccionados</w:t>
      </w:r>
    </w:p>
    <w:bookmarkEnd w:id="17"/>
    <w:bookmarkStart w:id="18" w:name="contenido-prohibido"/>
    <w:p>
      <w:pPr>
        <w:pStyle w:val="Heading3"/>
      </w:pPr>
      <w:r>
        <w:t xml:space="preserve">Contenido prohibido</w:t>
      </w:r>
    </w:p>
    <w:p>
      <w:pPr>
        <w:pStyle w:val="Compact"/>
        <w:numPr>
          <w:ilvl w:val="0"/>
          <w:numId w:val="1004"/>
        </w:numPr>
      </w:pPr>
      <w:r>
        <w:t xml:space="preserve">No debe reclamar la acreditación antes de que exista.</w:t>
      </w:r>
    </w:p>
    <w:p>
      <w:pPr>
        <w:pStyle w:val="Compact"/>
        <w:numPr>
          <w:ilvl w:val="0"/>
          <w:numId w:val="1005"/>
        </w:numPr>
      </w:pPr>
      <w:r>
        <w:t xml:space="preserve">No debe declarar ni implicar competencia técnica.</w:t>
      </w:r>
    </w:p>
    <w:p>
      <w:pPr>
        <w:pStyle w:val="Compact"/>
        <w:numPr>
          <w:ilvl w:val="0"/>
          <w:numId w:val="1006"/>
        </w:numPr>
      </w:pPr>
      <w:r>
        <w:t xml:space="preserve">No debe sustituir el informe detallado de desempeño.</w:t>
      </w:r>
    </w:p>
    <w:p>
      <w:pPr>
        <w:pStyle w:val="Compact"/>
        <w:numPr>
          <w:ilvl w:val="0"/>
          <w:numId w:val="1007"/>
        </w:numPr>
      </w:pPr>
      <w:r>
        <w:t xml:space="preserve">No debe publicar partituras confidenciales.</w:t>
      </w:r>
    </w:p>
    <w:p>
      <w:pPr>
        <w:pStyle w:val="Compact"/>
        <w:numPr>
          <w:ilvl w:val="0"/>
          <w:numId w:val="1008"/>
        </w:numPr>
      </w:pPr>
      <w:r>
        <w:t xml:space="preserve">No debe utilizar una calificación general.</w:t>
      </w:r>
    </w:p>
    <w:bookmarkEnd w:id="18"/>
    <w:bookmarkStart w:id="19" w:name="plantilla"/>
    <w:p>
      <w:pPr>
        <w:pStyle w:val="Heading3"/>
      </w:pPr>
      <w:r>
        <w:t xml:space="preserve">Plantilla</w:t>
      </w:r>
    </w:p>
    <w:p>
      <w:pPr>
        <w:pStyle w:val="SourceCode"/>
      </w:pPr>
      <w:r>
        <w:rPr>
          <w:rStyle w:val="VerbatimChar"/>
        </w:rPr>
        <w:t xml:space="preserve">CALAIRE-EA — DECLARACIÓN DE PARTICIPACIÓN</w:t>
      </w:r>
      <w:r>
        <w:br/>
      </w:r>
      <w:r>
        <w:br/>
      </w:r>
      <w:r>
        <w:rPr>
          <w:rStyle w:val="VerbatimChar"/>
        </w:rPr>
        <w:t xml:space="preserve">Organización: [NOMBRE]</w:t>
      </w:r>
      <w:r>
        <w:br/>
      </w:r>
      <w:r>
        <w:rPr>
          <w:rStyle w:val="VerbatimChar"/>
        </w:rPr>
        <w:t xml:space="preserve">Ronda: [ID]</w:t>
      </w:r>
      <w:r>
        <w:br/>
      </w:r>
      <w:r>
        <w:rPr>
          <w:rStyle w:val="VerbatimChar"/>
        </w:rPr>
        <w:t xml:space="preserve">Fecha: [FECHA]</w:t>
      </w:r>
      <w:r>
        <w:br/>
      </w:r>
      <w:r>
        <w:rPr>
          <w:rStyle w:val="VerbatimChar"/>
        </w:rPr>
        <w:t xml:space="preserve">Analizador: [ID]</w:t>
      </w:r>
      <w:r>
        <w:br/>
      </w:r>
      <w:r>
        <w:rPr>
          <w:rStyle w:val="VerbatimChar"/>
        </w:rPr>
        <w:t xml:space="preserve">Gases: [LISTA]</w:t>
      </w:r>
      <w:r>
        <w:br/>
      </w:r>
      <w:r>
        <w:br/>
      </w:r>
      <w:r>
        <w:rPr>
          <w:rStyle w:val="VerbatimChar"/>
        </w:rPr>
        <w:t xml:space="preserve">Esta declaración confirma la participación en la ronda indicada.</w:t>
      </w:r>
      <w:r>
        <w:br/>
      </w:r>
      <w:r>
        <w:rPr>
          <w:rStyle w:val="VerbatimChar"/>
        </w:rPr>
        <w:t xml:space="preserve">No constituye una acreditación ni una declaración de competencia técnica.</w:t>
      </w:r>
      <w:r>
        <w:br/>
      </w:r>
      <w:r>
        <w:rPr>
          <w:rStyle w:val="VerbatimChar"/>
        </w:rPr>
        <w:t xml:space="preserve">La evaluación detallada del desempeño se proporciona en el informe técnico separado.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2026-07-16T14:37:59Z</dcterms:created>
  <dcterms:modified xsi:type="dcterms:W3CDTF">2026-07-16T14:37:59Z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