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32d667daef16bb1cafcff168850c25e9a373186"/>
    <w:p>
      <w:pPr>
        <w:pStyle w:val="Heading1"/>
      </w:pPr>
      <w:r>
        <w:t xml:space="preserve">CS-14 — Formulario de comentarios del cliente</w:t>
      </w:r>
    </w:p>
    <w:p>
      <w:pPr>
        <w:pStyle w:val="FirstParagraph"/>
      </w:pPr>
      <w:r>
        <w:rPr>
          <w:b/>
          <w:bCs/>
        </w:rPr>
        <w:t xml:space="preserve">Propietario:</w:t>
      </w:r>
      <w:r>
        <w:t xml:space="preserve"> </w:t>
      </w:r>
      <w:r>
        <w:t xml:space="preserve">Profesional de proyectos</w:t>
      </w:r>
      <w:r>
        <w:t xml:space="preserve"> </w:t>
      </w:r>
      <w:r>
        <w:rPr>
          <w:b/>
          <w:bCs/>
        </w:rPr>
        <w:t xml:space="preserve">Última revisión:</w:t>
      </w:r>
      <w:r>
        <w:t xml:space="preserve"> </w:t>
      </w:r>
      <w:r>
        <w:t xml:space="preserve">2026-07-14 (se agregaron la fecha y el canal de envío, la opción de anonimato y el enlace con CS-05 para la preferencia de renovación; se actualizaron los códigos del SGC)</w:t>
      </w:r>
      <w:r>
        <w:t xml:space="preserve"> </w:t>
      </w:r>
      <w:r>
        <w:rPr>
          <w:b/>
          <w:bCs/>
        </w:rPr>
        <w:t xml:space="preserve">Referencia de códigos del SGC: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00_control/equivalencia_codigos_sgc.md</w:t>
      </w:r>
      <w:r>
        <w:t xml:space="preserve">.</w:t>
      </w:r>
      <w:r>
        <w:t xml:space="preserve"> </w:t>
      </w:r>
      <w:r>
        <w:rPr>
          <w:rStyle w:val="VerbatimChar"/>
        </w:rPr>
        <w:t xml:space="preserve">P-PSEA-17</w:t>
      </w:r>
      <w:r>
        <w:t xml:space="preserve"> </w:t>
      </w:r>
      <w:r>
        <w:t xml:space="preserve">(vigente) = Quejas del PEA.</w:t>
      </w:r>
      <w:r>
        <w:t xml:space="preserve"> </w:t>
      </w:r>
      <w:r>
        <w:rPr>
          <w:rStyle w:val="VerbatimChar"/>
        </w:rPr>
        <w:t xml:space="preserve">P-PSEA-18</w:t>
      </w:r>
      <w:r>
        <w:t xml:space="preserve"> </w:t>
      </w:r>
      <w:r>
        <w:t xml:space="preserve">(vigente) = Apelaciones del PEA.</w:t>
      </w:r>
      <w:r>
        <w:t xml:space="preserve"> </w:t>
      </w:r>
      <w:r>
        <w:rPr>
          <w:rStyle w:val="VerbatimChar"/>
        </w:rPr>
        <w:t xml:space="preserve">F-PSEA-14</w:t>
      </w:r>
      <w:r>
        <w:t xml:space="preserve"> </w:t>
      </w:r>
      <w:r>
        <w:t xml:space="preserve">(vigente tras la renumeración) = Registro de queja / NC / CAPA.</w:t>
      </w:r>
      <w:r>
        <w:t xml:space="preserve"> </w:t>
      </w:r>
      <w:r>
        <w:rPr>
          <w:rStyle w:val="VerbatimChar"/>
        </w:rPr>
        <w:t xml:space="preserve">F-PSEA-15</w:t>
      </w:r>
      <w:r>
        <w:t xml:space="preserve"> </w:t>
      </w:r>
      <w:r>
        <w:t xml:space="preserve">(vigente) = Registro de apelaciones.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Medir la experiencia y la demanda del servicio.</w:t>
      </w:r>
    </w:p>
    <w:bookmarkEnd w:id="9"/>
    <w:bookmarkStart w:id="10" w:name="metadatos-del-formulario"/>
    <w:p>
      <w:pPr>
        <w:pStyle w:val="Heading2"/>
      </w:pPr>
      <w:r>
        <w:t xml:space="preserve">Metadatos del formulario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 de envío</w:t>
            </w:r>
          </w:p>
        </w:tc>
        <w:tc>
          <w:tcPr/>
          <w:p>
            <w:pPr>
              <w:pStyle w:val="Compact"/>
            </w:pPr>
            <w:r>
              <w:t xml:space="preserve">[POR DILIGENCIAR — por ejemplo, URL del formulario, dirección de correo electrónico, enlace de la aplicación]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Idiomas disponibles</w:t>
            </w:r>
          </w:p>
        </w:tc>
        <w:tc>
          <w:tcPr/>
          <w:p>
            <w:pPr>
              <w:pStyle w:val="Compact"/>
            </w:pPr>
            <w:r>
              <w:t xml:space="preserve">[POR DILIGENCIAR — igual que CS-02]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Opción de anonimato</w:t>
            </w:r>
          </w:p>
        </w:tc>
        <w:tc>
          <w:tcPr/>
          <w:p>
            <w:pPr>
              <w:pStyle w:val="Compact"/>
            </w:pPr>
            <w:r>
              <w:t xml:space="preserve">Sí, el envío puede ser anónimo (sin enlace al código de participante)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Ventana de envío</w:t>
            </w:r>
          </w:p>
        </w:tc>
        <w:tc>
          <w:tcPr/>
          <w:p>
            <w:pPr>
              <w:pStyle w:val="Compact"/>
            </w:pPr>
            <w:r>
              <w:t xml:space="preserve">[POR DILIGENCIAR — abierto desde la entrega del informe final hasta N días después, luego cerrado]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Enlace a la expresión de interés de renovación (CS-05)</w:t>
            </w:r>
          </w:p>
        </w:tc>
        <w:tc>
          <w:tcPr/>
          <w:p>
            <w:pPr>
              <w:pStyle w:val="Compact"/>
            </w:pPr>
            <w:r>
              <w:t xml:space="preserve">[POR DILIGENCIAR — la P11 siguiente alimenta CS-05]</w:t>
            </w:r>
          </w:p>
        </w:tc>
      </w:tr>
    </w:tbl>
    <w:bookmarkEnd w:id="10"/>
    <w:bookmarkStart w:id="11" w:name="importante"/>
    <w:p>
      <w:pPr>
        <w:pStyle w:val="Heading2"/>
      </w:pPr>
      <w:r>
        <w:t xml:space="preserve">Importante</w:t>
      </w:r>
    </w:p>
    <w:p>
      <w:pPr>
        <w:pStyle w:val="FirstParagraph"/>
      </w:pPr>
      <w:r>
        <w:t xml:space="preserve">Los comentarios técnicos que indiquen una queja, apelación o disconformidad deben dirigirse al procedimiento PEA existente (</w:t>
      </w:r>
      <w:r>
        <w:rPr>
          <w:rStyle w:val="VerbatimChar"/>
        </w:rPr>
        <w:t xml:space="preserve">P-PSEA-17</w:t>
      </w:r>
      <w:r>
        <w:t xml:space="preserve">,</w:t>
      </w:r>
      <w:r>
        <w:t xml:space="preserve"> </w:t>
      </w:r>
      <w:r>
        <w:rPr>
          <w:rStyle w:val="VerbatimChar"/>
        </w:rPr>
        <w:t xml:space="preserve">P-PSEA-18</w:t>
      </w:r>
      <w:r>
        <w:t xml:space="preserve">,</w:t>
      </w:r>
      <w:r>
        <w:t xml:space="preserve"> </w:t>
      </w:r>
      <w:r>
        <w:rPr>
          <w:rStyle w:val="VerbatimChar"/>
        </w:rPr>
        <w:t xml:space="preserve">F-PSEA-14</w:t>
      </w:r>
      <w:r>
        <w:t xml:space="preserve">,</w:t>
      </w:r>
      <w:r>
        <w:t xml:space="preserve"> </w:t>
      </w:r>
      <w:r>
        <w:rPr>
          <w:rStyle w:val="VerbatimChar"/>
        </w:rPr>
        <w:t xml:space="preserve">F-PSEA-15</w:t>
      </w:r>
      <w:r>
        <w:t xml:space="preserve">) en lugar de gestionarse únicamente como un comentario de encuesta.</w:t>
      </w:r>
    </w:p>
    <w:bookmarkEnd w:id="11"/>
    <w:bookmarkStart w:id="12" w:name="preguntas-mínimas"/>
    <w:p>
      <w:pPr>
        <w:pStyle w:val="Heading2"/>
      </w:pPr>
      <w:r>
        <w:t xml:space="preserve">Preguntas mínimas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Escala / tipo</w:t>
            </w:r>
          </w:p>
        </w:tc>
        <w:tc>
          <w:tcPr/>
          <w:p>
            <w:pPr>
              <w:pStyle w:val="Compact"/>
            </w:pPr>
            <w:r>
              <w:t xml:space="preserve">Obligatoria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Fecha de envío (capturada automáticamente)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Automática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</w:t>
            </w:r>
          </w:p>
        </w:tc>
        <w:tc>
          <w:tcPr/>
          <w:p>
            <w:pPr>
              <w:pStyle w:val="Compact"/>
            </w:pPr>
            <w:r>
              <w:t xml:space="preserve">Canal de envío</w:t>
            </w:r>
          </w:p>
        </w:tc>
        <w:tc>
          <w:tcPr/>
          <w:p>
            <w:pPr>
              <w:pStyle w:val="Compact"/>
            </w:pPr>
            <w:r>
              <w:t xml:space="preserve">Portal / correo electrónico / papel</w:t>
            </w:r>
          </w:p>
        </w:tc>
        <w:tc>
          <w:tcPr/>
          <w:p>
            <w:pPr>
              <w:pStyle w:val="Compact"/>
            </w:pPr>
            <w:r>
              <w:t xml:space="preserve">Automática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Claridad de oferta y cotización</w:t>
            </w:r>
          </w:p>
        </w:tc>
        <w:tc>
          <w:tcPr/>
          <w:p>
            <w:pPr>
              <w:pStyle w:val="Compact"/>
            </w:pPr>
            <w:r>
              <w:t xml:space="preserve">1–5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Facilidad de registro y pago</w:t>
            </w:r>
          </w:p>
        </w:tc>
        <w:tc>
          <w:tcPr/>
          <w:p>
            <w:pPr>
              <w:pStyle w:val="Compact"/>
            </w:pPr>
            <w:r>
              <w:t xml:space="preserve">1–5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Claridad y puntualidad de las comunicaciones</w:t>
            </w:r>
          </w:p>
        </w:tc>
        <w:tc>
          <w:tcPr/>
          <w:p>
            <w:pPr>
              <w:pStyle w:val="Compact"/>
            </w:pPr>
            <w:r>
              <w:t xml:space="preserve">1–5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Facility/logistics experience</w:t>
            </w:r>
          </w:p>
        </w:tc>
        <w:tc>
          <w:tcPr/>
          <w:p>
            <w:pPr>
              <w:pStyle w:val="Compact"/>
            </w:pPr>
            <w:r>
              <w:t xml:space="preserve">1–5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Utilidad y oportunidad de la entrega de informes</w:t>
            </w:r>
          </w:p>
        </w:tc>
        <w:tc>
          <w:tcPr/>
          <w:p>
            <w:pPr>
              <w:pStyle w:val="Compact"/>
            </w:pPr>
            <w:r>
              <w:t xml:space="preserve">1–5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Valor percibido por precio</w:t>
            </w:r>
          </w:p>
        </w:tc>
        <w:tc>
          <w:tcPr/>
          <w:p>
            <w:pPr>
              <w:pStyle w:val="Compact"/>
            </w:pPr>
            <w:r>
              <w:t xml:space="preserve">1–5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Interés de gas/paquete para la próxima ronda (enlace cruzado con CS-05 para evitar preguntas dobles)</w:t>
            </w:r>
          </w:p>
        </w:tc>
        <w:tc>
          <w:tcPr/>
          <w:p>
            <w:pPr>
              <w:pStyle w:val="Compact"/>
            </w:pPr>
            <w:r>
              <w:t xml:space="preserve">Selección múltiple + comentarios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Periodo preferido y plazo de entrega de adquisiciones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Probabilidad de volver o recomendar</w:t>
            </w:r>
          </w:p>
        </w:tc>
        <w:tc>
          <w:tcPr/>
          <w:p>
            <w:pPr>
              <w:pStyle w:val="Compact"/>
            </w:pPr>
            <w:r>
              <w:t xml:space="preserve">0–10 (NPS)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Comentarios sobre quejas o mejoras</w:t>
            </w:r>
          </w:p>
        </w:tc>
        <w:tc>
          <w:tcPr/>
          <w:p>
            <w:pPr>
              <w:pStyle w:val="Compact"/>
            </w:pPr>
            <w:r>
              <w:t xml:space="preserve">Texto libre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Permiso para recibir contacto de renovación (enlaza con CS-05)</w:t>
            </w:r>
          </w:p>
        </w:tc>
        <w:tc>
          <w:tcPr/>
          <w:p>
            <w:pPr>
              <w:pStyle w:val="Compact"/>
            </w:pPr>
            <w:r>
              <w:t xml:space="preserve">Casilla de verificación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Anonymity preference</w:t>
            </w:r>
          </w:p>
        </w:tc>
        <w:tc>
          <w:tcPr/>
          <w:p>
            <w:pPr>
              <w:pStyle w:val="Compact"/>
            </w:pPr>
            <w:r>
              <w:t xml:space="preserve">“Submit anonymously”</w:t>
            </w:r>
            <w:r>
              <w:t xml:space="preserve"> </w:t>
            </w: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bookmarkEnd w:id="12"/>
    <w:bookmarkStart w:id="13" w:name="reglas-de-encaminamiento"/>
    <w:p>
      <w:pPr>
        <w:pStyle w:val="Heading2"/>
      </w:pPr>
      <w:r>
        <w:t xml:space="preserve">Reglas de encaminamiento</w:t>
      </w:r>
    </w:p>
    <w:p>
      <w:pPr>
        <w:pStyle w:val="Compact"/>
        <w:numPr>
          <w:ilvl w:val="0"/>
          <w:numId w:val="1001"/>
        </w:numPr>
      </w:pPr>
      <w:r>
        <w:t xml:space="preserve">Si la P10 menciona una queja, apelación o no conformidad específica:</w:t>
      </w:r>
    </w:p>
    <w:p>
      <w:pPr>
        <w:pStyle w:val="Compact"/>
        <w:numPr>
          <w:ilvl w:val="0"/>
          <w:numId w:val="1001"/>
        </w:numPr>
      </w:pPr>
      <w:r>
        <w:t xml:space="preserve">Ruta a</w:t>
      </w:r>
      <w:r>
        <w:t xml:space="preserve"> </w:t>
      </w:r>
      <w:r>
        <w:rPr>
          <w:rStyle w:val="VerbatimChar"/>
        </w:rPr>
        <w:t xml:space="preserve">P-PSEA-17</w:t>
      </w:r>
      <w:r>
        <w:t xml:space="preserve"> </w:t>
      </w:r>
      <w:r>
        <w:t xml:space="preserve">(quejas) /</w:t>
      </w:r>
      <w:r>
        <w:t xml:space="preserve"> </w:t>
      </w:r>
      <w:r>
        <w:rPr>
          <w:rStyle w:val="VerbatimChar"/>
        </w:rPr>
        <w:t xml:space="preserve">P-PSEA-18</w:t>
      </w:r>
      <w:r>
        <w:t xml:space="preserve"> </w:t>
      </w:r>
      <w:r>
        <w:t xml:space="preserve">(apelaciones) en 1 día hábil.</w:t>
      </w:r>
    </w:p>
    <w:p>
      <w:pPr>
        <w:pStyle w:val="Compact"/>
        <w:numPr>
          <w:ilvl w:val="0"/>
          <w:numId w:val="1001"/>
        </w:numPr>
      </w:pPr>
      <w:r>
        <w:t xml:space="preserve">No cierre el registro de comentarios hasta que la queja se registre por separado.</w:t>
      </w:r>
    </w:p>
    <w:p>
      <w:pPr>
        <w:pStyle w:val="Compact"/>
        <w:numPr>
          <w:ilvl w:val="0"/>
          <w:numId w:val="1001"/>
        </w:numPr>
      </w:pPr>
      <w:r>
        <w:t xml:space="preserve">Registrar la vinculación en</w:t>
      </w:r>
      <w:r>
        <w:t xml:space="preserve"> </w:t>
      </w:r>
      <w:r>
        <w:rPr>
          <w:rStyle w:val="VerbatimChar"/>
        </w:rPr>
        <w:t xml:space="preserve">F-PSEA-14</w:t>
      </w:r>
      <w:r>
        <w:t xml:space="preserve"> </w:t>
      </w:r>
      <w:r>
        <w:t xml:space="preserve">(queja/NC/CAPA) o</w:t>
      </w:r>
      <w:r>
        <w:t xml:space="preserve"> </w:t>
      </w:r>
      <w:r>
        <w:rPr>
          <w:rStyle w:val="VerbatimChar"/>
        </w:rPr>
        <w:t xml:space="preserve">F-PSEA-15</w:t>
      </w:r>
      <w:r>
        <w:t xml:space="preserve"> </w:t>
      </w:r>
      <w:r>
        <w:t xml:space="preserve">(apelaciones).</w:t>
      </w:r>
    </w:p>
    <w:p>
      <w:pPr>
        <w:pStyle w:val="Compact"/>
        <w:numPr>
          <w:ilvl w:val="0"/>
          <w:numId w:val="1001"/>
        </w:numPr>
      </w:pPr>
      <w:r>
        <w:t xml:space="preserve">Si la P10 menciona algún tema comercial (facturación, plazos, cancelación):</w:t>
      </w:r>
    </w:p>
    <w:p>
      <w:pPr>
        <w:pStyle w:val="Compact"/>
        <w:numPr>
          <w:ilvl w:val="0"/>
          <w:numId w:val="1001"/>
        </w:numPr>
      </w:pPr>
      <w:r>
        <w:t xml:space="preserve">Ruta a plomo comercial y apertura CS-12 en caso de impacto financiero.</w:t>
      </w:r>
    </w:p>
    <w:p>
      <w:pPr>
        <w:pStyle w:val="Compact"/>
        <w:numPr>
          <w:ilvl w:val="0"/>
          <w:numId w:val="1001"/>
        </w:numPr>
      </w:pPr>
      <w:r>
        <w:t xml:space="preserve">Si la P10 es una mejora general:</w:t>
      </w:r>
    </w:p>
    <w:p>
      <w:pPr>
        <w:pStyle w:val="Compact"/>
        <w:numPr>
          <w:ilvl w:val="0"/>
          <w:numId w:val="1001"/>
        </w:numPr>
      </w:pPr>
      <w:r>
        <w:t xml:space="preserve">Inicie sesión en el registro de mejoras para la revisión de la gestión.</w:t>
      </w:r>
    </w:p>
    <w:p>
      <w:pPr>
        <w:pStyle w:val="Compact"/>
        <w:numPr>
          <w:ilvl w:val="0"/>
          <w:numId w:val="1001"/>
        </w:numPr>
      </w:pPr>
      <w:r>
        <w:t xml:space="preserve">Si P11 = sí, inserte las preferencias de gas/paquete (P7) y el período (P8) en una nueva fila de expresión de interés CS-05, vinculada al registro CS-10 existente del participante.</w:t>
      </w:r>
    </w:p>
    <w:p>
      <w:pPr>
        <w:pStyle w:val="Compact"/>
        <w:numPr>
          <w:ilvl w:val="0"/>
          <w:numId w:val="1001"/>
        </w:numPr>
      </w:pPr>
      <w:r>
        <w:t xml:space="preserve">Si P12 =</w:t>
      </w:r>
      <w:r>
        <w:t xml:space="preserve"> </w:t>
      </w:r>
      <w:r>
        <w:t xml:space="preserve">“Enviar de forma anónima”</w:t>
      </w:r>
      <w:r>
        <w:t xml:space="preserve">, el envío se almacena sin código de participante; solo son posibles vistas agregadas.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2026-07-16T14:37:59Z</dcterms:created>
  <dcterms:modified xsi:type="dcterms:W3CDTF">2026-07-16T14:37:59Z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