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8e8f2a6a69a106f6676574bcd0554d92762986"/>
    <w:p>
      <w:pPr>
        <w:pStyle w:val="Heading1"/>
      </w:pPr>
      <w:r>
        <w:t xml:space="preserve">Artefactos de servicio comercial CALAIRE-EA</w:t>
      </w:r>
    </w:p>
    <w:p>
      <w:pPr>
        <w:pStyle w:val="FirstParagraph"/>
      </w:pPr>
      <w:r>
        <w:t xml:space="preserve">Estructura de carpetas para el sistema de artefactos comerciales MVP que convierte el esquema PT técnico existente de CALAIRE-EA en un servicio pago contratable.</w:t>
      </w:r>
    </w:p>
    <w:bookmarkStart w:id="19" w:name="estructura"/>
    <w:p>
      <w:pPr>
        <w:pStyle w:val="Heading2"/>
      </w:pPr>
      <w:r>
        <w:t xml:space="preserve">Estructura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00_control/</w:t>
            </w:r>
          </w:p>
        </w:tc>
        <w:tc>
          <w:tcPr/>
          <w:p>
            <w:pPr>
              <w:pStyle w:val="Compact"/>
            </w:pPr>
            <w:r>
              <w:t xml:space="preserve">CS-01 decisiones comerciales, registro de artefactos, registro de cambios de versiones, mapa de equivalencia de códigos SGC, mapa de viaje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01_mercado/</w:t>
            </w:r>
          </w:p>
        </w:tc>
        <w:tc>
          <w:tcPr/>
          <w:p>
            <w:pPr>
              <w:pStyle w:val="Compact"/>
            </w:pPr>
            <w:r>
              <w:t xml:space="preserve">Catálogo, aviso de programa, formulario de manifestación de interés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02_precios_restringidos/</w:t>
            </w:r>
          </w:p>
        </w:tc>
        <w:tc>
          <w:tcPr/>
          <w:p>
            <w:pPr>
              <w:pStyle w:val="Compact"/>
            </w:pPr>
            <w:r>
              <w:t xml:space="preserve">Modelo de costos y listas de precios aprobadas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03_ventas_contratacion/</w:t>
            </w:r>
          </w:p>
        </w:tc>
        <w:tc>
          <w:tcPr/>
          <w:p>
            <w:pPr>
              <w:pStyle w:val="Compact"/>
            </w:pPr>
            <w:r>
              <w:t xml:space="preserve">Cotizaciones, inscripciones, condiciones, revisiones de contratos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04_inscripcion_restringida/</w:t>
            </w:r>
          </w:p>
        </w:tc>
        <w:tc>
          <w:tcPr/>
          <w:p>
            <w:pPr>
              <w:pStyle w:val="Compact"/>
            </w:pPr>
            <w:r>
              <w:t xml:space="preserve">Seguimiento y confirmación / lista de espera / rechazo / paquetes de incorporación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05_cambios_finanzas/</w:t>
            </w:r>
          </w:p>
        </w:tc>
        <w:tc>
          <w:tcPr/>
          <w:p>
            <w:pPr>
              <w:pStyle w:val="Compact"/>
            </w:pPr>
            <w:r>
              <w:t xml:space="preserve">Registros de cambios, cancelaciones y reembolsos</w:t>
            </w:r>
          </w:p>
        </w:tc>
        <w:tc>
          <w:tcPr/>
          <w:p>
            <w:pPr>
              <w:pStyle w:val="Compact"/>
            </w:pPr>
            <w:r>
              <w:t xml:space="preserve">Directora del grupo + Profesional de proyectos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06_entrega_retencion/</w:t>
            </w:r>
          </w:p>
        </w:tc>
        <w:tc>
          <w:tcPr/>
          <w:p>
            <w:pPr>
              <w:pStyle w:val="Compact"/>
            </w:pPr>
            <w:r>
              <w:t xml:space="preserve">Entrega de informes, retroalimentación, renovación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</w:tbl>
    <w:bookmarkEnd w:id="19"/>
    <w:bookmarkStart w:id="20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01"/>
        </w:numPr>
      </w:pPr>
      <w:r>
        <w:t xml:space="preserve">Todos los artefactos provienen del texto de</w:t>
      </w:r>
      <w:r>
        <w:t xml:space="preserve"> </w:t>
      </w:r>
      <w:r>
        <w:rPr>
          <w:rStyle w:val="VerbatimChar"/>
        </w:rPr>
        <w:t xml:space="preserve">00_control/CS-01_decisiones_comerciales.md</w:t>
      </w:r>
      <w:r>
        <w:t xml:space="preserve"> </w:t>
      </w:r>
      <w:r>
        <w:t xml:space="preserve">o de documentos SGC existentes en</w:t>
      </w:r>
      <w:r>
        <w:t xml:space="preserve"> </w:t>
      </w:r>
      <w:r>
        <w:rPr>
          <w:rStyle w:val="VerbatimChar"/>
        </w:rPr>
        <w:t xml:space="preserve">docs/qms/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Ningún archivo fuera de</w:t>
      </w:r>
      <w:r>
        <w:t xml:space="preserve"> </w:t>
      </w:r>
      <w:r>
        <w:rPr>
          <w:rStyle w:val="VerbatimChar"/>
        </w:rPr>
        <w:t xml:space="preserve">docs/qms/</w:t>
      </w:r>
      <w:r>
        <w:t xml:space="preserve"> </w:t>
      </w:r>
      <w:r>
        <w:t xml:space="preserve">se trata como el maestro SGC actual.</w:t>
      </w:r>
    </w:p>
    <w:p>
      <w:pPr>
        <w:pStyle w:val="Compact"/>
        <w:numPr>
          <w:ilvl w:val="0"/>
          <w:numId w:val="1001"/>
        </w:numPr>
      </w:pPr>
      <w:r>
        <w:t xml:space="preserve">Los registros de la ronda técnica permanecen en la estructura PEA/SGC en</w:t>
      </w:r>
      <w:r>
        <w:t xml:space="preserve"> </w:t>
      </w:r>
      <w:r>
        <w:rPr>
          <w:rStyle w:val="VerbatimChar"/>
        </w:rPr>
        <w:t xml:space="preserve">docs/qms/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02_precios_restringidos/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04_inscripcion_restringida/</w:t>
      </w:r>
      <w:r>
        <w:t xml:space="preserve"> </w:t>
      </w:r>
      <w:r>
        <w:t xml:space="preserve">contienen datos de costo e identidad del participante: acceso controlado. El acceso por archivo puede ser más restrictivo que el nivel de carpeta; consulte</w:t>
      </w:r>
      <w:r>
        <w:t xml:space="preserve"> </w:t>
      </w:r>
      <w:r>
        <w:rPr>
          <w:rStyle w:val="VerbatimChar"/>
        </w:rPr>
        <w:t xml:space="preserve">02_precios_restringidos/PROPIETARIOS.md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04_inscripcion_restringida/PROPIETARIOS.md</w:t>
      </w:r>
      <w:r>
        <w:t xml:space="preserve">.</w:t>
      </w:r>
    </w:p>
    <w:bookmarkEnd w:id="20"/>
    <w:bookmarkStart w:id="21" w:name="X626b48398fb49d53beacd49269d9f9a1b5c56f3"/>
    <w:p>
      <w:pPr>
        <w:pStyle w:val="Heading2"/>
      </w:pPr>
      <w:r>
        <w:t xml:space="preserve">Equivalencia de códigos del SGC (renumeración del 2026-06-14)</w:t>
      </w:r>
    </w:p>
    <w:p>
      <w:pPr>
        <w:pStyle w:val="FirstParagraph"/>
      </w:pPr>
      <w:r>
        <w:t xml:space="preserve">El SGC sufrió una renumeración de códigos aprobada el 14-06-2026 (</w:t>
      </w:r>
      <w:r>
        <w:rPr>
          <w:rStyle w:val="VerbatimChar"/>
        </w:rPr>
        <w:t xml:space="preserve">docs/sgc/matriz_equivalencias_codigos_sgc_pea.md</w:t>
      </w:r>
      <w:r>
        <w:t xml:space="preserve">). Los artefactos comerciales citan códigos</w:t>
      </w:r>
      <w:r>
        <w:t xml:space="preserve"> </w:t>
      </w:r>
      <w:r>
        <w:rPr>
          <w:rStyle w:val="VerbatimChar"/>
        </w:rPr>
        <w:t xml:space="preserve">P-PSEA-XX</w:t>
      </w:r>
      <w:r>
        <w:t xml:space="preserve">,</w:t>
      </w:r>
      <w:r>
        <w:t xml:space="preserve"> </w:t>
      </w:r>
      <w:r>
        <w:rPr>
          <w:rStyle w:val="VerbatimChar"/>
        </w:rPr>
        <w:t xml:space="preserve">F-PSEA-XX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I-PSEA-XX</w:t>
      </w:r>
      <w:r>
        <w:t xml:space="preserve">,</w:t>
      </w:r>
      <w:r>
        <w:t xml:space="preserve"> </w:t>
      </w:r>
      <w:r>
        <w:rPr>
          <w:rStyle w:val="VerbatimChar"/>
        </w:rPr>
        <w:t xml:space="preserve">DG-PSEA-XX</w:t>
      </w:r>
      <w:r>
        <w:t xml:space="preserve"> </w:t>
      </w:r>
      <w:r>
        <w:t xml:space="preserve">que pueden haber cambiado de significado o número. El mapeo canónico utilizado por los artefactos se encuentra en: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00_control/equivalencia_codigos_sgc.md</w:t>
      </w:r>
      <w:r>
        <w:t xml:space="preserve"> </w:t>
      </w:r>
      <w:r>
        <w:t xml:space="preserve">— tabla de equivalencia completa para los códigos que aparecen en CS-01 a CS-15.</w:t>
      </w:r>
    </w:p>
    <w:p>
      <w:pPr>
        <w:pStyle w:val="FirstParagraph"/>
      </w:pPr>
      <w:r>
        <w:rPr>
          <w:b/>
          <w:bCs/>
        </w:rPr>
        <w:t xml:space="preserve">En caso de duda:</w:t>
      </w:r>
      <w:r>
        <w:t xml:space="preserve"> </w:t>
      </w:r>
      <w:r>
        <w:t xml:space="preserve">si un artefacto hace referencia a un código</w:t>
      </w:r>
      <w:r>
        <w:t xml:space="preserve"> </w:t>
      </w:r>
      <w:r>
        <w:rPr>
          <w:rStyle w:val="VerbatimChar"/>
        </w:rPr>
        <w:t xml:space="preserve">*-PSEA-NN</w:t>
      </w:r>
      <w:r>
        <w:t xml:space="preserve">, verifique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 </w:t>
      </w:r>
      <w:r>
        <w:t xml:space="preserve">antes de abrir el archivo SGC. El SGC tiene autoridad; esta tabla es una ayuda de traducción para lectores de artefactos.</w:t>
      </w:r>
    </w:p>
    <w:bookmarkEnd w:id="21"/>
    <w:bookmarkStart w:id="22" w:name="fases"/>
    <w:p>
      <w:pPr>
        <w:pStyle w:val="Heading2"/>
      </w:pPr>
      <w:r>
        <w:t xml:space="preserve">Fases</w:t>
      </w:r>
    </w:p>
    <w:p>
      <w:pPr>
        <w:pStyle w:val="FirstParagraph"/>
      </w:pPr>
      <w:r>
        <w:t xml:space="preserve">Los artefactos se completan y aprueban según las dependencias y puertas de control documentadas, sin asignar semanas artificiales.</w:t>
      </w:r>
    </w:p>
    <w:bookmarkEnd w:id="22"/>
    <w:bookmarkStart w:id="23" w:name="convenciones"/>
    <w:p>
      <w:pPr>
        <w:pStyle w:val="Heading2"/>
      </w:pPr>
      <w:r>
        <w:t xml:space="preserve">Convenciones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Nombre de archivo:</w:t>
      </w:r>
      <w:r>
        <w:t xml:space="preserve"> </w:t>
      </w:r>
      <w:r>
        <w:rPr>
          <w:rStyle w:val="VerbatimChar"/>
        </w:rPr>
        <w:t xml:space="preserve">CS-NN_nombre_corto.md</w:t>
      </w:r>
      <w:r>
        <w:t xml:space="preserve"> </w:t>
      </w:r>
      <w:r>
        <w:t xml:space="preserve">(por ejemplo,</w:t>
      </w:r>
      <w:r>
        <w:t xml:space="preserve"> </w:t>
      </w:r>
      <w:r>
        <w:rPr>
          <w:rStyle w:val="VerbatimChar"/>
        </w:rPr>
        <w:t xml:space="preserve">CS-04_modelo_costos_precios.md</w:t>
      </w:r>
      <w:r>
        <w:t xml:space="preserve">). Archivos aprobados solo dentro de la carpeta.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de versiones:</w:t>
      </w:r>
      <w:r>
        <w:t xml:space="preserve"> </w:t>
      </w:r>
      <w:r>
        <w:t xml:space="preserve">cada artefacto tiene una línea de "Última revisión" en el encabezado con la fecha y el resumen. Los cambios sustanciales incrementan la versión en el encabezado del artefacto Y</w:t>
      </w:r>
      <w:r>
        <w:t xml:space="preserve"> </w:t>
      </w:r>
      <w:r>
        <w:rPr>
          <w:rStyle w:val="VerbatimChar"/>
        </w:rPr>
        <w:t xml:space="preserve">registro_cambios_versiones.md</w:t>
      </w:r>
      <w:r>
        <w:t xml:space="preserve"> </w:t>
      </w:r>
      <w:r>
        <w:t xml:space="preserve">(una entrada por versión).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Marcadores de estado:</w:t>
      </w:r>
    </w:p>
    <w:p>
      <w:pPr>
        <w:pStyle w:val="Compact"/>
        <w:numPr>
          <w:ilvl w:val="0"/>
          <w:numId w:val="1003"/>
        </w:numPr>
      </w:pPr>
      <w:r>
        <w:t xml:space="preserve">"BORRADOR" — pendiente de aprobación; el contenido puede cambiar.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PLANIFICADO</w:t>
      </w:r>
      <w:r>
        <w:t xml:space="preserve"> </w:t>
      </w:r>
      <w:r>
        <w:t xml:space="preserve">— solo estructura; los marcadores</w:t>
      </w:r>
      <w:r>
        <w:t xml:space="preserve"> </w:t>
      </w:r>
      <w:r>
        <w:rPr>
          <w:rStyle w:val="VerbatimChar"/>
        </w:rPr>
        <w:t xml:space="preserve">[POR DILIGENCIAR]</w:t>
      </w:r>
      <w:r>
        <w:t xml:space="preserve"> </w:t>
      </w:r>
      <w:r>
        <w:t xml:space="preserve">permanecen.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APROBADO</w:t>
      </w:r>
      <w:r>
        <w:t xml:space="preserve">: el contenido está bloqueado; los cambios requieren una nueva revisión.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Guía de evidencia:</w:t>
      </w:r>
      <w:r>
        <w:t xml:space="preserve"> </w:t>
      </w:r>
      <w:r>
        <w:t xml:space="preserve">los marcadores</w:t>
      </w:r>
      <w:r>
        <w:t xml:space="preserve"> </w:t>
      </w:r>
      <w:r>
        <w:rPr>
          <w:rStyle w:val="VerbatimChar"/>
        </w:rPr>
        <w:t xml:space="preserve">[POR DILIGENCIAR]</w:t>
      </w:r>
      <w:r>
        <w:t xml:space="preserve"> </w:t>
      </w:r>
      <w:r>
        <w:t xml:space="preserve">de nivel de decisión deben identificar la fuente de evidencia esperada (organigrama, política financiera, SGC, etc.) o señalar el artefacto de control. Consulte</w:t>
      </w:r>
      <w:r>
        <w:t xml:space="preserve"> </w:t>
      </w:r>
      <w:r>
        <w:rPr>
          <w:rStyle w:val="VerbatimChar"/>
        </w:rPr>
        <w:t xml:space="preserve">CS-01_decisiones_comerciales.md</w:t>
      </w:r>
      <w:r>
        <w:t xml:space="preserve"> </w:t>
      </w:r>
      <w:r>
        <w:t xml:space="preserve">para ver el ejemplo canónico. Los campos de transacción en formularios reutilizables no requieren una nota de evidencia separada para cada marcador.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Referencias de códigos SGC:</w:t>
      </w:r>
      <w:r>
        <w:t xml:space="preserve"> </w:t>
      </w:r>
      <w:r>
        <w:t xml:space="preserve">al citar un código</w:t>
      </w:r>
      <w:r>
        <w:t xml:space="preserve"> </w:t>
      </w:r>
      <w:r>
        <w:rPr>
          <w:rStyle w:val="VerbatimChar"/>
        </w:rPr>
        <w:t xml:space="preserve">*-PSEA-NN</w:t>
      </w:r>
      <w:r>
        <w:t xml:space="preserve">, agregar un paréntesis con el código previo a la renumeración si el significado o el número cambió (e.g., "</w:t>
      </w:r>
      <w:r>
        <w:rPr>
          <w:rStyle w:val="VerbatimChar"/>
        </w:rPr>
        <w:t xml:space="preserve">F-PSEA-04</w:t>
      </w:r>
      <w:r>
        <w:t xml:space="preserve"> </w:t>
      </w:r>
      <w:r>
        <w:t xml:space="preserve">(post-renumeración; antiguo</w:t>
      </w:r>
      <w:r>
        <w:t xml:space="preserve"> </w:t>
      </w:r>
      <w:r>
        <w:rPr>
          <w:rStyle w:val="VerbatimChar"/>
        </w:rPr>
        <w:t xml:space="preserve">F-PSEA-05A</w:t>
      </w:r>
      <w:r>
        <w:t xml:space="preserve">)").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cambios:</w:t>
      </w:r>
      <w:r>
        <w:t xml:space="preserve"> </w:t>
      </w:r>
      <w:r>
        <w:t xml:space="preserve">el historial de versiones se lleva únicamente en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; los artefactos no llevan tabla de aprobación interna.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Bloques de texto estándar:</w:t>
      </w:r>
      <w:r>
        <w:t xml:space="preserve"> </w:t>
      </w:r>
      <w:r>
        <w:t xml:space="preserve">algunos artefactos comparten texto exacto (por ejemplo, el "recordatorio de uso de informe" en la sección 9 de CS-01, la cláusula 16 de CS-08 y la plantilla de CS-13). Si es necesario cambiar un bloque estándar, actualice todas las instancias en la misma revisión y anote el cambio en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.</w:t>
      </w:r>
    </w:p>
    <w:bookmarkEnd w:id="23"/>
    <w:bookmarkStart w:id="24" w:name="puertas-de-aprobación"/>
    <w:p>
      <w:pPr>
        <w:pStyle w:val="Heading2"/>
      </w:pPr>
      <w:r>
        <w:t xml:space="preserve">Puertas de aprobación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Puerta</w:t>
            </w:r>
          </w:p>
        </w:tc>
        <w:tc>
          <w:tcPr/>
          <w:p>
            <w:pPr>
              <w:pStyle w:val="Compact"/>
            </w:pPr>
            <w:r>
              <w:t xml:space="preserve">Artefactos requeridos</w:t>
            </w:r>
          </w:p>
        </w:tc>
        <w:tc>
          <w:tcPr/>
          <w:p>
            <w:pPr>
              <w:pStyle w:val="Compact"/>
            </w:pPr>
            <w:r>
              <w:t xml:space="preserve">Pregunta de 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Lanzamiento al mercado</w:t>
            </w:r>
          </w:p>
        </w:tc>
        <w:tc>
          <w:tcPr/>
          <w:p>
            <w:pPr>
              <w:pStyle w:val="Compact"/>
            </w:pPr>
            <w:r>
              <w:t xml:space="preserve">CS-01–CS-05</w:t>
            </w:r>
          </w:p>
        </w:tc>
        <w:tc>
          <w:tcPr/>
          <w:p>
            <w:pPr>
              <w:pStyle w:val="Compact"/>
            </w:pPr>
            <w:r>
              <w:t xml:space="preserve">¿La oferta es precisa, tiene un precio, es comprensible y está honestamente posicionada?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Lanzamiento de cotización</w:t>
            </w:r>
          </w:p>
        </w:tc>
        <w:tc>
          <w:tcPr/>
          <w:p>
            <w:pPr>
              <w:pStyle w:val="Compact"/>
            </w:pPr>
            <w:r>
              <w:t xml:space="preserve">CS-04, CS-06, CS-08</w:t>
            </w:r>
          </w:p>
        </w:tc>
        <w:tc>
          <w:tcPr/>
          <w:p>
            <w:pPr>
              <w:pStyle w:val="Compact"/>
            </w:pPr>
            <w:r>
              <w:t xml:space="preserve">¿Se pueden defender y aceptar el precio y las condiciones?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Aceptación del pedido</w:t>
            </w:r>
          </w:p>
        </w:tc>
        <w:tc>
          <w:tcPr/>
          <w:p>
            <w:pPr>
              <w:pStyle w:val="Compact"/>
            </w:pPr>
            <w:r>
              <w:t xml:space="preserve">CS-07–CS-10</w:t>
            </w:r>
          </w:p>
        </w:tc>
        <w:tc>
          <w:tcPr/>
          <w:p>
            <w:pPr>
              <w:pStyle w:val="Compact"/>
            </w:pPr>
            <w:r>
              <w:t xml:space="preserve">¿Se alinean el alcance, la capacidad, los términos y el pago/PO?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Traspaso técnico</w:t>
            </w:r>
          </w:p>
        </w:tc>
        <w:tc>
          <w:tcPr/>
          <w:p>
            <w:pPr>
              <w:pStyle w:val="Compact"/>
            </w:pPr>
            <w:r>
              <w:t xml:space="preserve">CS-11 + entradas del SGC</w:t>
            </w:r>
          </w:p>
        </w:tc>
        <w:tc>
          <w:tcPr/>
          <w:p>
            <w:pPr>
              <w:pStyle w:val="Compact"/>
            </w:pPr>
            <w:r>
              <w:t xml:space="preserve">¿Puede el proceso de planificación de rondas existente actuar sobre el pedido confirmado?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Cambio/reembolso</w:t>
            </w:r>
          </w:p>
        </w:tc>
        <w:tc>
          <w:tcPr/>
          <w:p>
            <w:pPr>
              <w:pStyle w:val="Compact"/>
            </w:pPr>
            <w:r>
              <w:t xml:space="preserve">CS-12</w:t>
            </w:r>
          </w:p>
        </w:tc>
        <w:tc>
          <w:tcPr/>
          <w:p>
            <w:pPr>
              <w:pStyle w:val="Compact"/>
            </w:pPr>
            <w:r>
              <w:t xml:space="preserve">¿Está documentado y autorizado el efecto financiero y de capacidad?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 informes</w:t>
            </w:r>
          </w:p>
        </w:tc>
        <w:tc>
          <w:tcPr/>
          <w:p>
            <w:pPr>
              <w:pStyle w:val="Compact"/>
            </w:pPr>
            <w:r>
              <w:t xml:space="preserve">CS-13 + aprobación del informe SGC existente</w:t>
            </w:r>
          </w:p>
        </w:tc>
        <w:tc>
          <w:tcPr/>
          <w:p>
            <w:pPr>
              <w:pStyle w:val="Compact"/>
            </w:pPr>
            <w:r>
              <w:t xml:space="preserve">¿El informe controlado correcto va al destinatario correcto?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comercial</w:t>
            </w:r>
          </w:p>
        </w:tc>
        <w:tc>
          <w:tcPr/>
          <w:p>
            <w:pPr>
              <w:pStyle w:val="Compact"/>
            </w:pPr>
            <w:r>
              <w:t xml:space="preserve">CS-14–CS-15</w:t>
            </w:r>
          </w:p>
        </w:tc>
        <w:tc>
          <w:tcPr/>
          <w:p>
            <w:pPr>
              <w:pStyle w:val="Compact"/>
            </w:pPr>
            <w:r>
              <w:t xml:space="preserve">¿Se registran los comentarios, el estado de los ingresos y los intereses futuros?</w:t>
            </w:r>
          </w:p>
        </w:tc>
      </w:tr>
    </w:tbl>
    <w:bookmarkEnd w:id="24"/>
    <w:bookmarkStart w:id="25" w:name="referencias-cruzadas"/>
    <w:p>
      <w:pPr>
        <w:pStyle w:val="Heading2"/>
      </w:pPr>
      <w:r>
        <w:t xml:space="preserve">Referencias cruzadas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Mapa del viaje:</w:t>
      </w:r>
      <w:r>
        <w:t xml:space="preserve"> </w:t>
      </w:r>
      <w:r>
        <w:t xml:space="preserve">consulta</w:t>
      </w:r>
      <w:r>
        <w:t xml:space="preserve"> </w:t>
      </w:r>
      <w:r>
        <w:rPr>
          <w:rStyle w:val="VerbatimChar"/>
        </w:rPr>
        <w:t xml:space="preserve">00_control/mapa_viaje.md</w:t>
      </w:r>
      <w:r>
        <w:t xml:space="preserve"> </w:t>
      </w:r>
      <w:r>
        <w:t xml:space="preserve">para obtener una vista completa de cómo se conectan los 15 artefactos.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Registro de artefactos:</w:t>
      </w:r>
      <w:r>
        <w:t xml:space="preserve"> </w:t>
      </w:r>
      <w:r>
        <w:t xml:space="preserve">consulte</w:t>
      </w:r>
      <w:r>
        <w:t xml:space="preserve"> </w:t>
      </w:r>
      <w:r>
        <w:rPr>
          <w:rStyle w:val="VerbatimChar"/>
        </w:rPr>
        <w:t xml:space="preserve">00_control/registro_artefactos.md</w:t>
      </w:r>
      <w:r>
        <w:t xml:space="preserve"> </w:t>
      </w:r>
      <w:r>
        <w:t xml:space="preserve">para obtener la lista canónica, propietarios y estados.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Registro de versiones:</w:t>
      </w:r>
      <w:r>
        <w:t xml:space="preserve"> </w:t>
      </w:r>
      <w:r>
        <w:t xml:space="preserve">consulte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 </w:t>
      </w:r>
      <w:r>
        <w:t xml:space="preserve">para conocer el historial de versiones entre artefactos (historial de versiones de los artefactos).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Fuente de la verdad de SGC:</w:t>
      </w:r>
      <w:r>
        <w:t xml:space="preserve"> </w:t>
      </w:r>
      <w:r>
        <w:rPr>
          <w:rStyle w:val="VerbatimChar"/>
        </w:rPr>
        <w:t xml:space="preserve">docs/qms/</w:t>
      </w:r>
      <w:r>
        <w:t xml:space="preserve">. La capa comercial hace referencia, nunca se duplica.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maestro de implementación:</w:t>
      </w:r>
      <w:r>
        <w:t xml:space="preserve"> </w:t>
      </w:r>
      <w:r>
        <w:rPr>
          <w:rStyle w:val="VerbatimChar"/>
        </w:rPr>
        <w:t xml:space="preserve">ptservice_art_prop.md</w:t>
      </w:r>
      <w:r>
        <w:t xml:space="preserve"> </w:t>
      </w:r>
      <w:r>
        <w:t xml:space="preserve">(documento principal).</w:t>
      </w:r>
    </w:p>
    <w:bookmarkEnd w:id="25"/>
    <w:bookmarkEnd w:id="26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2026-07-16T14:07:50Z</dcterms:created>
  <dcterms:modified xsi:type="dcterms:W3CDTF">2026-07-16T14:07:50Z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