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oja-de-decisión-comercial"/>
    <w:p>
      <w:pPr>
        <w:pStyle w:val="Heading1"/>
      </w:pPr>
      <w:r>
        <w:t xml:space="preserve">Hoja de decisión comercial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servicio_comercial/00_control/CS-01_decisiones_comerciales.md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Fuente única de verdad para el alcance, el precio, las condiciones y las afirmaciones que se hacen sobre el servicio. Evita contradicciones entre folletos, cotizaciones, formularios, términos y correos a clientes: si dos documentos difieren, esta hoja tiene la autoridad.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Identidad del servicio: nombre, entidad legal (UNAL, NIT 899.999.063-3), unidad ejecutora (Facultad de Minas, Laboratorio CALAIRE), roles asignados e idioma de trabajo (español).</w:t>
      </w:r>
    </w:p>
    <w:p>
      <w:pPr>
        <w:pStyle w:val="Compact"/>
        <w:numPr>
          <w:ilvl w:val="0"/>
          <w:numId w:val="1001"/>
        </w:numPr>
      </w:pPr>
      <w:r>
        <w:t xml:space="preserve">Alcance: cuatro bloques de gases (CO, SO₂, O₃, NO/NO₂) con capacidad de 4 analizadores por gas individual; definición de paquetes y de la unidad estándar de participación.</w:t>
      </w:r>
    </w:p>
    <w:p>
      <w:pPr>
        <w:pStyle w:val="Compact"/>
        <w:numPr>
          <w:ilvl w:val="0"/>
          <w:numId w:val="1001"/>
        </w:numPr>
      </w:pPr>
      <w:r>
        <w:t xml:space="preserve">Ancla de precio: referencia de ≈ COP 5.928.000 por organización (tarifa plana provisional para 1 a 4 bloques), facturación solo en COP, validez de cotización de 30 días.</w:t>
      </w:r>
    </w:p>
    <w:p>
      <w:pPr>
        <w:pStyle w:val="Compact"/>
        <w:numPr>
          <w:ilvl w:val="0"/>
          <w:numId w:val="1001"/>
        </w:numPr>
      </w:pPr>
      <w:r>
        <w:t xml:space="preserve">Límites de capacidad (provisionales; validación en espera del T700U), asignación de costos de ciclo de vida, estrategia de cilindros de gas certificado, tarifas de cancelación y texto estándar de uso del informe.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Alimenta directamente el catálogo, la convocatoria, el modelo de costos, la cotización y los términos.</w:t>
      </w:r>
    </w:p>
    <w:p>
      <w:pPr>
        <w:pStyle w:val="Compact"/>
        <w:numPr>
          <w:ilvl w:val="0"/>
          <w:numId w:val="1002"/>
        </w:numPr>
      </w:pPr>
      <w:r>
        <w:t xml:space="preserve">El texto estándar de uso del informe debe coincidir exactamente con los términos y la plantilla de entrega de informe.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Ningún material de cara al cliente puede afirmar algo que esta hoja no respalde.</w:t>
      </w:r>
    </w:p>
    <w:p>
      <w:pPr>
        <w:pStyle w:val="Compact"/>
        <w:numPr>
          <w:ilvl w:val="0"/>
          <w:numId w:val="1003"/>
        </w:numPr>
      </w:pPr>
      <w:r>
        <w:t xml:space="preserve">El precio de referencia no es un precio aprobado: la acumulación de costos debe completarse primero.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