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atálogo-de-servicios"/>
    <w:p>
      <w:pPr>
        <w:pStyle w:val="Heading1"/>
      </w:pPr>
      <w:r>
        <w:t xml:space="preserve">Catálogo de servicios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servicio_comercial/01_mercado/CS-02_catalogo.md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Dar a un cliente potencial la información suficiente para decidir si solicita una cotización, sin abrumarlo con detalle técnico de procedimientos. Explica qué es el servicio, a quién está dirigido, el valor de participar y las condiciones generales.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Formato: una página web concisa más un PDF de dos a cuatro páginas, ambos con el mismo texto aprobado.</w:t>
      </w:r>
    </w:p>
    <w:p>
      <w:pPr>
        <w:pStyle w:val="Compact"/>
        <w:numPr>
          <w:ilvl w:val="0"/>
          <w:numId w:val="1001"/>
        </w:numPr>
      </w:pPr>
      <w:r>
        <w:t xml:space="preserve">Qué es el servicio, a quién está dirigido (laboratorios, redes de monitoreo, autoridades, academia) y valor de participar.</w:t>
      </w:r>
    </w:p>
    <w:p>
      <w:pPr>
        <w:pStyle w:val="Compact"/>
        <w:numPr>
          <w:ilvl w:val="0"/>
          <w:numId w:val="1001"/>
        </w:numPr>
      </w:pPr>
      <w:r>
        <w:t xml:space="preserve">Bloques seleccionables (CO, SO₂, O₃, NO/NO₂ como bloque único con analizador NOx) y modelo de tarifa plana por organización.</w:t>
      </w:r>
    </w:p>
    <w:p>
      <w:pPr>
        <w:pStyle w:val="Compact"/>
        <w:numPr>
          <w:ilvl w:val="0"/>
          <w:numId w:val="1001"/>
        </w:numPr>
      </w:pPr>
      <w:r>
        <w:t xml:space="preserve">Modalidad en instalaciones de CALAIRE en Medellín: el participante transporta su analizador; alcance incluido y excluido.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Todo dato de alcance, capacidad y precio proviene de la hoja de decisión comercial y del modelo de costos.</w:t>
      </w:r>
    </w:p>
    <w:p>
      <w:pPr>
        <w:pStyle w:val="Compact"/>
        <w:numPr>
          <w:ilvl w:val="0"/>
          <w:numId w:val="1002"/>
        </w:numPr>
      </w:pPr>
      <w:r>
        <w:t xml:space="preserve">Remite al formulario de expresión de interés y a la convocatoria de ronda vigente.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El resultado no constituye certificación, acreditación ni declaración general de competencia — así debe decirlo.</w:t>
      </w:r>
    </w:p>
    <w:p>
      <w:pPr>
        <w:pStyle w:val="Compact"/>
        <w:numPr>
          <w:ilvl w:val="0"/>
          <w:numId w:val="1003"/>
        </w:numPr>
      </w:pPr>
      <w:r>
        <w:t xml:space="preserve">El valor de referencia es solo benchmark de viabilidad: no puede publicarse como tarifa antes de aprobar el modelo de costos.</w:t>
      </w:r>
    </w:p>
    <w:p>
      <w:pPr>
        <w:pStyle w:val="Compact"/>
        <w:numPr>
          <w:ilvl w:val="0"/>
          <w:numId w:val="1003"/>
        </w:numPr>
      </w:pPr>
      <w:r>
        <w:t xml:space="preserve">Redacción pre-acreditación obligatoria en todo el texto.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