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ograma-anual-y-convocatoria-de-ronda"/>
    <w:p>
      <w:pPr>
        <w:pStyle w:val="Heading1"/>
      </w:pPr>
      <w:r>
        <w:t xml:space="preserve">Programa anual y convocatoria de ronda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servicio_comercial/01_mercado/CS-03_programa_convocatoria_ronda.md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Convertir el servicio genérico en una ronda programada y adquirible: publica fechas, capacidad, gases ofrecidos y plazos de inscripción de cada ronda.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Campos mínimos: año del programa, identificación de la ronda, estado, ubicación, fechas de ejecución, bloques ofrecidos, capacidad, apertura y cierre de inscripciones, fecha objetivo del informe final.</w:t>
      </w:r>
    </w:p>
    <w:p>
      <w:pPr>
        <w:pStyle w:val="Compact"/>
        <w:numPr>
          <w:ilvl w:val="0"/>
          <w:numId w:val="1001"/>
        </w:numPr>
      </w:pPr>
      <w:r>
        <w:t xml:space="preserve">Control de versiones del aviso: cada cambio de fecha, capacidad, gases o tarifas tras la primera publicación exige nueva versión (v1, v2, …) con nota de cambio pública.</w:t>
      </w:r>
    </w:p>
    <w:p>
      <w:pPr>
        <w:pStyle w:val="Compact"/>
        <w:numPr>
          <w:ilvl w:val="0"/>
          <w:numId w:val="1001"/>
        </w:numPr>
      </w:pPr>
      <w:r>
        <w:t xml:space="preserve">Declaración pre-acreditación obligatoria y aviso de que las instrucciones técnicas detalladas solo se entregan a participantes confirmados.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Precios y capacidades deben coincidir con la hoja de decisión y el modelo de costos.</w:t>
      </w:r>
    </w:p>
    <w:p>
      <w:pPr>
        <w:pStyle w:val="Compact"/>
        <w:numPr>
          <w:ilvl w:val="0"/>
          <w:numId w:val="1002"/>
        </w:numPr>
      </w:pPr>
      <w:r>
        <w:t xml:space="preserve">Las fechas se alinean con los documentos de planificación técnica existentes del SGC.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No duplica instrucciones técnicas del esquema de ensayos.</w:t>
      </w:r>
    </w:p>
    <w:p>
      <w:pPr>
        <w:pStyle w:val="Compact"/>
        <w:numPr>
          <w:ilvl w:val="0"/>
          <w:numId w:val="1003"/>
        </w:numPr>
      </w:pPr>
      <w:r>
        <w:t xml:space="preserve">Permanece como plantilla no publicada hasta cerrar las revisiones de costos, jurídica y cilindros.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