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odelo-de-costos-y-precios"/>
    <w:p>
      <w:pPr>
        <w:pStyle w:val="Heading1"/>
      </w:pPr>
      <w:r>
        <w:t xml:space="preserve">Modelo de costos y precios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servicio_comercial/02_precios_restringidos/CS-04_modelo_costos_precios.md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Validar la tarifa plana provisional, calcular los costos reales de ejecutar una ronda y el umbral de viabilidad, y respaldar una futura revisión de precios sin asumir facturación por gas o por analizador.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Libro</w:t>
      </w:r>
      <w:r>
        <w:t xml:space="preserve"> </w:t>
      </w:r>
      <w:r>
        <w:rPr>
          <w:rStyle w:val="VerbatimChar"/>
        </w:rPr>
        <w:t xml:space="preserve">CS-04_modelo_costos_precios.xlsx</w:t>
      </w:r>
      <w:r>
        <w:t xml:space="preserve"> </w:t>
      </w:r>
      <w:r>
        <w:t xml:space="preserve">sobre la plantilla F-PSEA-01: supuestos, costo común, costo por gas, ciclo de vida de equipos, estrategia de cilindros, tarifa, validación de referencia, inscripción, escenarios y aprobación.</w:t>
      </w:r>
    </w:p>
    <w:p>
      <w:pPr>
        <w:pStyle w:val="Compact"/>
        <w:numPr>
          <w:ilvl w:val="0"/>
          <w:numId w:val="1001"/>
        </w:numPr>
      </w:pPr>
      <w:r>
        <w:t xml:space="preserve">Supuestos laborales provisionales: horas por rol y tarifas institucionales aún pendientes de validación.</w:t>
      </w:r>
    </w:p>
    <w:p>
      <w:pPr>
        <w:pStyle w:val="Compact"/>
        <w:numPr>
          <w:ilvl w:val="0"/>
          <w:numId w:val="1001"/>
        </w:numPr>
      </w:pPr>
      <w:r>
        <w:t xml:space="preserve">Política cambiaria: TRM USD/COP × referencia BCE solo para convertir referencias; facturación únicamente en COP.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Toma capacidad, arquitectura de precio y política monetaria de la hoja de decisión comercial.</w:t>
      </w:r>
    </w:p>
    <w:p>
      <w:pPr>
        <w:pStyle w:val="Compact"/>
        <w:numPr>
          <w:ilvl w:val="0"/>
          <w:numId w:val="1002"/>
        </w:numPr>
      </w:pPr>
      <w:r>
        <w:t xml:space="preserve">Alimenta la lista de precios aprobada y el valor de cada cotización.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Ninguna oferta real puede emitirse por debajo del costo directo de ejecución que arroje este modelo.</w:t>
      </w:r>
    </w:p>
    <w:p>
      <w:pPr>
        <w:pStyle w:val="Compact"/>
        <w:numPr>
          <w:ilvl w:val="0"/>
          <w:numId w:val="1003"/>
        </w:numPr>
      </w:pPr>
      <w:r>
        <w:t xml:space="preserve">El costeo monetario permanece bloqueado hasta validar institucionalmente las tarifas por rol.</w:t>
      </w:r>
    </w:p>
    <w:p>
      <w:pPr>
        <w:pStyle w:val="Compact"/>
        <w:numPr>
          <w:ilvl w:val="0"/>
          <w:numId w:val="1003"/>
        </w:numPr>
      </w:pPr>
      <w:r>
        <w:t xml:space="preserve">Acceso restringido: contiene datos internos de costos (ver política de la carpeta).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