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ormulario-de-expresión-de-interés"/>
    <w:p>
      <w:pPr>
        <w:pStyle w:val="Heading1"/>
      </w:pPr>
      <w:r>
        <w:t xml:space="preserve">Formulario de expresión de interés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servicio_comercial/01_mercado/CS-05_expresiones_de_interes.md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Verificar la demanda antes de comprometer fechas y costos. El cliente manifiesta interés en uno o más bloques de gases sin adquirir compromiso ni reservar cupo.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16 preguntas mínimas: organización, contacto, país, gases deseados, analizadores (fabricante, modelo, año), fechas de calibración, viabilidad de operación simultánea CO/SO₂, periodo preferido, proceso de compra y aceptación de facturación en COP.</w:t>
      </w:r>
    </w:p>
    <w:p>
      <w:pPr>
        <w:pStyle w:val="Compact"/>
        <w:numPr>
          <w:ilvl w:val="0"/>
          <w:numId w:val="1001"/>
        </w:numPr>
      </w:pPr>
      <w:r>
        <w:t xml:space="preserve">Texto de consentimiento explícito de protección de datos (Ley 1581/2012), visible y no premarcado, con revocatoria vía calaire_med@unal.edu.co.</w:t>
      </w:r>
    </w:p>
    <w:p>
      <w:pPr>
        <w:pStyle w:val="Compact"/>
        <w:numPr>
          <w:ilvl w:val="0"/>
          <w:numId w:val="1001"/>
        </w:numPr>
      </w:pPr>
      <w:r>
        <w:t xml:space="preserve">Caducidad de la respuesta: las expresiones obsoletas se marcan y se excluyen del canal activo.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Cada respuesta entra al rastreador de inscripciones como oportunidad en etapa de interés.</w:t>
      </w:r>
    </w:p>
    <w:p>
      <w:pPr>
        <w:pStyle w:val="Compact"/>
        <w:numPr>
          <w:ilvl w:val="0"/>
          <w:numId w:val="1002"/>
        </w:numPr>
      </w:pPr>
      <w:r>
        <w:t xml:space="preserve">Las fechas de calibración alimentan la verificación de compatibilidad de la revisión de contrato; el idioma preferido alimenta cotización y términos.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El formulario debe decir explícitamente: enviar la expresión de interés no reserva un lugar en la ronda.</w:t>
      </w:r>
    </w:p>
    <w:p>
      <w:pPr>
        <w:pStyle w:val="Compact"/>
        <w:numPr>
          <w:ilvl w:val="0"/>
          <w:numId w:val="1003"/>
        </w:numPr>
      </w:pPr>
      <w:r>
        <w:t xml:space="preserve">No se publica ningún precio no aprobado: la pregunta de tarifa valida la arquitectura, no el valor.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