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lantilla-de-cotización"/>
    <w:p>
      <w:pPr>
        <w:pStyle w:val="Heading1"/>
      </w:pPr>
      <w:r>
        <w:t xml:space="preserve">Plantilla de cotización</w:t>
      </w:r>
    </w:p>
    <w:p>
      <w:pPr>
        <w:pStyle w:val="FirstParagraph"/>
      </w:pPr>
      <w:r>
        <w:rPr>
          <w:b/>
          <w:bCs/>
        </w:rPr>
        <w:t xml:space="preserve">Archivo fuente:</w:t>
      </w:r>
      <w:r>
        <w:t xml:space="preserve"> </w:t>
      </w:r>
      <w:r>
        <w:rPr>
          <w:rStyle w:val="VerbatimChar"/>
        </w:rPr>
        <w:t xml:space="preserve">servicio_comercial/03_ventas_contratacion/CS-06_cotizaciones.md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Realizar una oferta comercial controlada: nada se ofrece por fuera de esta plantilla. Fija alcance, valor, validez, método de aceptación y condiciones de pago de cada oferta.</w:t>
      </w:r>
    </w:p>
    <w:bookmarkEnd w:id="9"/>
    <w:bookmarkStart w:id="10" w:name="contenido-clave"/>
    <w:p>
      <w:pPr>
        <w:pStyle w:val="Heading2"/>
      </w:pPr>
      <w:r>
        <w:t xml:space="preserve">Contenido clave</w:t>
      </w:r>
    </w:p>
    <w:p>
      <w:pPr>
        <w:pStyle w:val="Compact"/>
        <w:numPr>
          <w:ilvl w:val="0"/>
          <w:numId w:val="1001"/>
        </w:numPr>
      </w:pPr>
      <w:r>
        <w:t xml:space="preserve">Encabezado controlado: número único, familia de cotización, revisión, fechas de emisión, caducidad y fecha límite de aceptación (distinta del vencimiento).</w:t>
      </w:r>
    </w:p>
    <w:p>
      <w:pPr>
        <w:pStyle w:val="Compact"/>
        <w:numPr>
          <w:ilvl w:val="0"/>
          <w:numId w:val="1001"/>
        </w:numPr>
      </w:pPr>
      <w:r>
        <w:t xml:space="preserve">Método de aceptación: cotización firmada por representante autorizado desde correo institucional, u orden de compra formal aceptada por la Universidad.</w:t>
      </w:r>
    </w:p>
    <w:p>
      <w:pPr>
        <w:pStyle w:val="Compact"/>
        <w:numPr>
          <w:ilvl w:val="0"/>
          <w:numId w:val="1001"/>
        </w:numPr>
      </w:pPr>
      <w:r>
        <w:t xml:space="preserve">Paquete de gases seleccionado, analizadores, configuración operativa, entregables incluidos, exclusiones (transporte, seguros, aduanas, impuestos de importación para internacionales), precio y cronograma de pagos.</w:t>
      </w:r>
    </w:p>
    <w:bookmarkEnd w:id="10"/>
    <w:bookmarkStart w:id="11" w:name="se-conecta-con"/>
    <w:p>
      <w:pPr>
        <w:pStyle w:val="Heading2"/>
      </w:pPr>
      <w:r>
        <w:t xml:space="preserve">Se conecta con</w:t>
      </w:r>
    </w:p>
    <w:p>
      <w:pPr>
        <w:pStyle w:val="Compact"/>
        <w:numPr>
          <w:ilvl w:val="0"/>
          <w:numId w:val="1002"/>
        </w:numPr>
      </w:pPr>
      <w:r>
        <w:t xml:space="preserve">El valor proviene del modelo de costos aprobado; la moneda y validez, de la hoja de decisión.</w:t>
      </w:r>
    </w:p>
    <w:p>
      <w:pPr>
        <w:pStyle w:val="Compact"/>
        <w:numPr>
          <w:ilvl w:val="0"/>
          <w:numId w:val="1002"/>
        </w:numPr>
      </w:pPr>
      <w:r>
        <w:t xml:space="preserve">El número de cotización se cita en la inscripción, la revisión de contrato y el rastreador; las revisiones abren registro de cambios.</w:t>
      </w:r>
    </w:p>
    <w:bookmarkEnd w:id="11"/>
    <w:bookmarkStart w:id="13" w:name="reglas-críticas"/>
    <w:p>
      <w:pPr>
        <w:pStyle w:val="Heading2"/>
      </w:pPr>
      <w:r>
        <w:t xml:space="preserve">Reglas críticas</w:t>
      </w:r>
    </w:p>
    <w:p>
      <w:pPr>
        <w:pStyle w:val="Compact"/>
        <w:numPr>
          <w:ilvl w:val="0"/>
          <w:numId w:val="1003"/>
        </w:numPr>
      </w:pPr>
      <w:r>
        <w:t xml:space="preserve">Facturación en COP salvo aprobación explícita en contrario.</w:t>
      </w:r>
    </w:p>
    <w:p>
      <w:pPr>
        <w:pStyle w:val="Compact"/>
        <w:numPr>
          <w:ilvl w:val="0"/>
          <w:numId w:val="1003"/>
        </w:numPr>
      </w:pPr>
      <w:r>
        <w:t xml:space="preserve">Una cotización vencida no se reactiva: se emite una nueva revisión de la misma familia.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consulta · corte al 2026-07-16 · índice: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indice.md</w:t>
        </w:r>
      </w:hyperlink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indi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indi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2026-07-16T14:36:52Z</dcterms:created>
  <dcterms:modified xsi:type="dcterms:W3CDTF">2026-07-16T14:36:52Z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