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ormulario-de-inscripción"/>
    <w:p>
      <w:pPr>
        <w:pStyle w:val="Heading1"/>
      </w:pPr>
      <w:r>
        <w:t xml:space="preserve">Formulario de inscripción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servicio_comercial/03_ventas_contratacion/CS-07_inscripciones.md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Capturar al comprador: identidad legal, alcance seleccionado y datos administrativos y de facturación. Reutiliza los campos técnicos del SGC y de calaire-app en lugar de duplicarlos: solo agrega la sección comercial.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Campos comerciales: nombre legal, identificación tributaria, facturación, número de cotización válido, paquete de gases, idioma del informe, contactos contractual y técnico.</w:t>
      </w:r>
    </w:p>
    <w:p>
      <w:pPr>
        <w:pStyle w:val="Compact"/>
        <w:numPr>
          <w:ilvl w:val="0"/>
          <w:numId w:val="1001"/>
        </w:numPr>
      </w:pPr>
      <w:r>
        <w:t xml:space="preserve">Evidencia de aceptación: marca de tiempo ISO 8601, canal (portal, correo, PDF firmado, papel) y origen IP si aplica — facilita resolver controversias.</w:t>
      </w:r>
    </w:p>
    <w:p>
      <w:pPr>
        <w:pStyle w:val="Compact"/>
        <w:numPr>
          <w:ilvl w:val="0"/>
          <w:numId w:val="1001"/>
        </w:numPr>
      </w:pPr>
      <w:r>
        <w:t xml:space="preserve">Consentimientos separados: aceptación de términos, selección de confidencialidad/divulgación y consentimiento de mercadeo (texto Ley 1581/2012 aparte del consentimiento del servicio).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El número de cotización debe ser válido, no vencido y no aceptado por otra parte.</w:t>
      </w:r>
    </w:p>
    <w:p>
      <w:pPr>
        <w:pStyle w:val="Compact"/>
        <w:numPr>
          <w:ilvl w:val="0"/>
          <w:numId w:val="1002"/>
        </w:numPr>
      </w:pPr>
      <w:r>
        <w:t xml:space="preserve">Cerrar la inscripción dispara la revisión de contrato; los datos técnicos van por los formularios vigentes del SGC.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Solo los participantes confirmados pasan a la planificación formal de la ronda.</w:t>
      </w:r>
    </w:p>
    <w:p>
      <w:pPr>
        <w:pStyle w:val="Compact"/>
        <w:numPr>
          <w:ilvl w:val="0"/>
          <w:numId w:val="1003"/>
        </w:numPr>
      </w:pPr>
      <w:r>
        <w:t xml:space="preserve">Si la cotización aceptada requiere revisión, el registro pasa a «revisión de cotización en curso» y vuelve a «cotizado» con nueva revisión.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