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cf81c3cd6bc7fc3c88c59a72ce462f2a28edf91"/>
    <w:p>
      <w:pPr>
        <w:pStyle w:val="Heading1"/>
      </w:pPr>
      <w:r>
        <w:t xml:space="preserve">Términos y condiciones (acuerdo del participante)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servicio_comercial/03_ventas_contratacion/CS-08_terminos.md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Establecer las condiciones de servicio vinculantes entre la Universidad Nacional de Colombia y la organización participante. Define contenido; la redacción legal final la aprueba la asesoría jurídica institucional.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Cláusulas mínimas: partes y descripción del servicio, alcance seleccionado con incorporación del SGC por referencia, responsabilidades de proveedor y participante.</w:t>
      </w:r>
    </w:p>
    <w:p>
      <w:pPr>
        <w:pStyle w:val="Compact"/>
        <w:numPr>
          <w:ilvl w:val="0"/>
          <w:numId w:val="1001"/>
        </w:numPr>
      </w:pPr>
      <w:r>
        <w:t xml:space="preserve">Transporte, custodia y riesgo de equipos; consecuencias de falla del instrumento. Las cláusulas de riesgo/seguro, pagos, cancelaciones, retiro y fuerza mayor están marcadas como pendientes de redacción jurídica.</w:t>
      </w:r>
    </w:p>
    <w:p>
      <w:pPr>
        <w:pStyle w:val="Compact"/>
        <w:numPr>
          <w:ilvl w:val="0"/>
          <w:numId w:val="1001"/>
        </w:numPr>
      </w:pPr>
      <w:r>
        <w:t xml:space="preserve">Precio, impuestos y pagos; inscripción mínima, aplazamiento y cancelación; retiro y sustitución; protección de datos (Ley 1581 de 2012); uso correcto del informe.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Los documentos técnicos vigentes del SGC rigen la ejecución: estas condiciones los complementan, no los sustituyen.</w:t>
      </w:r>
    </w:p>
    <w:p>
      <w:pPr>
        <w:pStyle w:val="Compact"/>
        <w:numPr>
          <w:ilvl w:val="0"/>
          <w:numId w:val="1002"/>
        </w:numPr>
      </w:pPr>
      <w:r>
        <w:t xml:space="preserve">La cláusula de uso del informe usa el texto estándar compartido con la hoja de decisión y la entrega de informe.</w:t>
      </w:r>
    </w:p>
    <w:p>
      <w:pPr>
        <w:pStyle w:val="Compact"/>
        <w:numPr>
          <w:ilvl w:val="0"/>
          <w:numId w:val="1002"/>
        </w:numPr>
      </w:pPr>
      <w:r>
        <w:t xml:space="preserve">La revisión de contrato compara cláusula por cláusula cualquier orden de compra contra este acuerdo.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La cláusula de transporte no puede firmarse sin el instructivo vigente de embalaje y transporte de equipos.</w:t>
      </w:r>
    </w:p>
    <w:p>
      <w:pPr>
        <w:pStyle w:val="Compact"/>
        <w:numPr>
          <w:ilvl w:val="0"/>
          <w:numId w:val="1003"/>
        </w:numPr>
      </w:pPr>
      <w:r>
        <w:t xml:space="preserve">Sin calificación agregada a1–a7 ni afirmación de acreditación en ninguna cláusula.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