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abba26a229adb58a3b883e934e2b772a562533"/>
    <w:p>
      <w:pPr>
        <w:pStyle w:val="Heading1"/>
      </w:pPr>
      <w:r>
        <w:t xml:space="preserve">Lista de verificación de revisión de contrato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servicio_comercial/03_ventas_contratacion/CS-09_revisiones_contrato.md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Impedir que CALAIRE-EA acepte un pedido que no puede entregar o cuya orden de compra contradiga las condiciones del servicio. Es la compuerta previa a toda confirmación.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17 verificaciones firmadas (iniciales obligatorias): validez de la cotización, no doble reserva, gases ofrecidos en la ronda, capacidad disponible y residual ≥ 0, compatibilidad del equipo, coherencia de precio y pagos.</w:t>
      </w:r>
    </w:p>
    <w:p>
      <w:pPr>
        <w:pStyle w:val="Compact"/>
        <w:numPr>
          <w:ilvl w:val="0"/>
          <w:numId w:val="1001"/>
        </w:numPr>
      </w:pPr>
      <w:r>
        <w:t xml:space="preserve">Revisión de la orden de compra contra los términos: que no anule en silencio reglas de cancelación, confidencialidad, informes ni la ausencia de calificación agregada.</w:t>
      </w:r>
    </w:p>
    <w:p>
      <w:pPr>
        <w:pStyle w:val="Compact"/>
        <w:numPr>
          <w:ilvl w:val="0"/>
          <w:numId w:val="1001"/>
        </w:numPr>
      </w:pPr>
      <w:r>
        <w:t xml:space="preserve">Tres consentimientos de divulgación verificados por separado: regulatorio, de mercadeo y transfronterizo (Ley 1581/2012). Un «acepto la divulgación» genérico es insuficiente.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Lee capacidad del rastreador; su decisión (aceptado, lista de espera, rechazado) lo actualiza y dispara el paquete de confirmación.</w:t>
      </w:r>
    </w:p>
    <w:p>
      <w:pPr>
        <w:pStyle w:val="Compact"/>
        <w:numPr>
          <w:ilvl w:val="0"/>
          <w:numId w:val="1002"/>
        </w:numPr>
      </w:pPr>
      <w:r>
        <w:t xml:space="preserve">Si el pedido consume el último cupo se marca «último espacio» y requiere autorización del Líder técnico.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Iniciales faltantes bloquean la decisión; los rechazos exigen motivo documentado y compartido con el cliente.</w:t>
      </w:r>
    </w:p>
    <w:p>
      <w:pPr>
        <w:pStyle w:val="Compact"/>
        <w:numPr>
          <w:ilvl w:val="0"/>
          <w:numId w:val="1003"/>
        </w:numPr>
      </w:pPr>
      <w:r>
        <w:t xml:space="preserve">Pedidos en lista de espera se rastrean con fecha y criterios de prioridad aplicados.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