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rastreador-de-inscripciones-e-ingresos"/>
    <w:p>
      <w:pPr>
        <w:pStyle w:val="Heading1"/>
      </w:pPr>
      <w:r>
        <w:t xml:space="preserve">Rastreador de inscripciones e ingresos</w:t>
      </w:r>
    </w:p>
    <w:p>
      <w:pPr>
        <w:pStyle w:val="FirstParagraph"/>
      </w:pPr>
      <w:r>
        <w:rPr>
          <w:b/>
          <w:bCs/>
        </w:rPr>
        <w:t xml:space="preserve">Archivo fuente:</w:t>
      </w:r>
      <w:r>
        <w:t xml:space="preserve"> </w:t>
      </w:r>
      <w:r>
        <w:rPr>
          <w:rStyle w:val="VerbatimChar"/>
        </w:rPr>
        <w:t xml:space="preserve">servicio_comercial/04_inscripcion_restringida/CS-10_seguimiento.md</w:t>
      </w:r>
    </w:p>
    <w:bookmarkStart w:id="9" w:name="propósito"/>
    <w:p>
      <w:pPr>
        <w:pStyle w:val="Heading2"/>
      </w:pPr>
      <w:r>
        <w:t xml:space="preserve">Propósito</w:t>
      </w:r>
    </w:p>
    <w:p>
      <w:pPr>
        <w:pStyle w:val="FirstParagraph"/>
      </w:pPr>
      <w:r>
        <w:t xml:space="preserve">Controlar capacidad, pedidos, pagos y viabilidad de la ronda. Es el núcleo operativo del sistema: casi todos los demás artefactos leen o escriben aquí, y es la vista en tiempo real del estado de cada oportunidad.</w:t>
      </w:r>
    </w:p>
    <w:bookmarkEnd w:id="9"/>
    <w:bookmarkStart w:id="10" w:name="contenido-clave"/>
    <w:p>
      <w:pPr>
        <w:pStyle w:val="Heading2"/>
      </w:pPr>
      <w:r>
        <w:t xml:space="preserve">Contenido clave</w:t>
      </w:r>
    </w:p>
    <w:p>
      <w:pPr>
        <w:pStyle w:val="Compact"/>
        <w:numPr>
          <w:ilvl w:val="0"/>
          <w:numId w:val="1001"/>
        </w:numPr>
      </w:pPr>
      <w:r>
        <w:t xml:space="preserve">Libro Excel institucional protegido, con plantilla limpia, copia de simulación sintética (nunca usar como registro vivo) y generador reproducible en scripts/build_cs10_tracker.py.</w:t>
      </w:r>
    </w:p>
    <w:p>
      <w:pPr>
        <w:pStyle w:val="Compact"/>
        <w:numPr>
          <w:ilvl w:val="0"/>
          <w:numId w:val="1001"/>
        </w:numPr>
      </w:pPr>
      <w:r>
        <w:t xml:space="preserve">Estados comerciales: interés → cotizado → registrado → en revisión → aceptado pendiente de pago → confirmado / lista de espera / rechazado / retirado.</w:t>
      </w:r>
    </w:p>
    <w:p>
      <w:pPr>
        <w:pStyle w:val="Compact"/>
        <w:numPr>
          <w:ilvl w:val="0"/>
          <w:numId w:val="1001"/>
        </w:numPr>
      </w:pPr>
      <w:r>
        <w:t xml:space="preserve">Columnas de control: fechas límite de aceptación y de pago, seguimiento de pagos parciales, capacidad consumida por bloque, indicador de último cupo, prioridad de lista de espera (grupo 1: laboratorio acreditado; grupo 2: demás elegibles).</w:t>
      </w:r>
    </w:p>
    <w:bookmarkEnd w:id="10"/>
    <w:bookmarkStart w:id="11" w:name="se-conecta-con"/>
    <w:p>
      <w:pPr>
        <w:pStyle w:val="Heading2"/>
      </w:pPr>
      <w:r>
        <w:t xml:space="preserve">Se conecta con</w:t>
      </w:r>
    </w:p>
    <w:p>
      <w:pPr>
        <w:pStyle w:val="Compact"/>
        <w:numPr>
          <w:ilvl w:val="0"/>
          <w:numId w:val="1002"/>
        </w:numPr>
      </w:pPr>
      <w:r>
        <w:t xml:space="preserve">Recibe expresiones de interés, cotizaciones, inscripciones, decisiones de revisión, cambios y renovaciones.</w:t>
      </w:r>
    </w:p>
    <w:p>
      <w:pPr>
        <w:pStyle w:val="Compact"/>
        <w:numPr>
          <w:ilvl w:val="0"/>
          <w:numId w:val="1002"/>
        </w:numPr>
      </w:pPr>
      <w:r>
        <w:t xml:space="preserve">Los cambios de capacidad se reflejan de inmediato, sin actualizaciones por lotes.</w:t>
      </w:r>
    </w:p>
    <w:bookmarkEnd w:id="11"/>
    <w:bookmarkStart w:id="13" w:name="reglas-críticas"/>
    <w:p>
      <w:pPr>
        <w:pStyle w:val="Heading2"/>
      </w:pPr>
      <w:r>
        <w:t xml:space="preserve">Reglas críticas</w:t>
      </w:r>
    </w:p>
    <w:p>
      <w:pPr>
        <w:pStyle w:val="Compact"/>
        <w:numPr>
          <w:ilvl w:val="0"/>
          <w:numId w:val="1003"/>
        </w:numPr>
      </w:pPr>
      <w:r>
        <w:t xml:space="preserve">No almacena resultados técnicos de participantes.</w:t>
      </w:r>
    </w:p>
    <w:p>
      <w:pPr>
        <w:pStyle w:val="Compact"/>
        <w:numPr>
          <w:ilvl w:val="0"/>
          <w:numId w:val="1003"/>
        </w:numPr>
      </w:pPr>
      <w:r>
        <w:t xml:space="preserve">La columna de comunicaciones solo apunta a calaire_med@unal.edu.co o carpetas institucionales controladas — nada de bandejas personales.</w:t>
      </w:r>
    </w:p>
    <w:p>
      <w:pPr>
        <w:pStyle w:val="Compact"/>
        <w:numPr>
          <w:ilvl w:val="0"/>
          <w:numId w:val="1003"/>
        </w:numPr>
      </w:pPr>
      <w:r>
        <w:t xml:space="preserve">Cambiar la contraseña de protección de hoja antes del uso real; acceso restringido por identidad de participantes.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Documento de consulta · corte al 2026-07-16 · índice:</w:t>
      </w:r>
      <w:r>
        <w:rPr>
          <w:i/>
          <w:iCs/>
        </w:rPr>
        <w:t xml:space="preserve"> </w:t>
      </w:r>
      <w:hyperlink r:id="rId12">
        <w:r>
          <w:rPr>
            <w:rStyle w:val="Hyperlink"/>
            <w:i/>
            <w:iCs/>
          </w:rPr>
          <w:t xml:space="preserve">indice.md</w:t>
        </w:r>
      </w:hyperlink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" Target="indic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indic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2026-07-16T14:36:52Z</dcterms:created>
  <dcterms:modified xsi:type="dcterms:W3CDTF">2026-07-16T14:36:52Z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