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3907311dd2a6284acb33df57f38589aac3cea3"/>
    <w:p>
      <w:pPr>
        <w:pStyle w:val="Heading1"/>
      </w:pPr>
      <w:r>
        <w:t xml:space="preserve">Paquete de confirmación, lista de espera, rechazo e incorporación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servicio_comercial/04_inscripcion_restringida/CS-11_confirmaciones.md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Comunicar al cliente el resultado de su pedido (confirmación, lista de espera o rechazo) y, cuando se confirma, entregar el paquete de incorporación con las instrucciones técnicas del SGC. Es el traspaso formal de la capa comercial a la técnica.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Mensaje de confirmación con código de participante asignado por el SGC, gases y analizadores confirmados, fechas, estado de pago, contactos técnico y administrativo, y próximos plazos.</w:t>
      </w:r>
    </w:p>
    <w:p>
      <w:pPr>
        <w:pStyle w:val="Compact"/>
        <w:numPr>
          <w:ilvl w:val="0"/>
          <w:numId w:val="1001"/>
        </w:numPr>
      </w:pPr>
      <w:r>
        <w:t xml:space="preserve">Plazo de acuse de recibo: 5 días hábiles; sin respuesta hay seguimiento registrado — un cupo pagado no se libera sin proceso formal de cancelación.</w:t>
      </w:r>
    </w:p>
    <w:p>
      <w:pPr>
        <w:pStyle w:val="Compact"/>
        <w:numPr>
          <w:ilvl w:val="0"/>
          <w:numId w:val="1001"/>
        </w:numPr>
      </w:pPr>
      <w:r>
        <w:t xml:space="preserve">Plantillas de lista de espera (con prioridad conservada) y de rechazo (con motivo).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Se dispara solo con la revisión de contrato aprobada y el rastreador actualizado.</w:t>
      </w:r>
    </w:p>
    <w:p>
      <w:pPr>
        <w:pStyle w:val="Compact"/>
        <w:numPr>
          <w:ilvl w:val="0"/>
          <w:numId w:val="1002"/>
        </w:numPr>
      </w:pPr>
      <w:r>
        <w:t xml:space="preserve">El paquete de incorporación enlaza los documentos del SGC; no los duplica.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La confirmación tiene fecha de validez: sin acuse, el cupo pasa a lista de espera conservando prioridad.</w:t>
      </w:r>
    </w:p>
    <w:p>
      <w:pPr>
        <w:pStyle w:val="Compact"/>
        <w:numPr>
          <w:ilvl w:val="0"/>
          <w:numId w:val="1003"/>
        </w:numPr>
      </w:pPr>
      <w:r>
        <w:t xml:space="preserve">Acceso restringido: contiene identidad de participantes.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