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173c9754df5d997369f53e1371b953e435bff2"/>
    <w:p>
      <w:pPr>
        <w:pStyle w:val="Heading1"/>
      </w:pPr>
      <w:r>
        <w:t xml:space="preserve">Registro de cambios, cancelaciones y reembolsos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servicio_comercial/05_cambios_finanzas/CS-12_cambios_cancelaciones_reembolsos.md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Controlar toda modificación posterior a la confirmación —cambio de gases o analizadores, retiro, aplazamiento, cancelación, reembolso o nota crédito— dejando trazable su efecto económico y de capacidad.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Eventos disparadores: cambio de alcance, retiro del participante, aplazamiento o cancelación del proveedor, inscripción mínima no alcanzada, fuerza mayor, solicitud de reembolso, error sustancial del informe.</w:t>
      </w:r>
    </w:p>
    <w:p>
      <w:pPr>
        <w:pStyle w:val="Compact"/>
        <w:numPr>
          <w:ilvl w:val="0"/>
          <w:numId w:val="1001"/>
        </w:numPr>
      </w:pPr>
      <w:r>
        <w:t xml:space="preserve">Registro mínimo con referencia a la familia de cotización original y su revisión, tarifa aplicable del catálogo, cálculo línea por línea de reembolso o crédito, impacto en capacidad y en viabilidad de la ronda.</w:t>
      </w:r>
    </w:p>
    <w:p>
      <w:pPr>
        <w:pStyle w:val="Compact"/>
        <w:numPr>
          <w:ilvl w:val="0"/>
          <w:numId w:val="1001"/>
        </w:numPr>
      </w:pPr>
      <w:r>
        <w:t xml:space="preserve">Compromisos: reembolso típico en 30 días hábiles desde la aprobación; las notas crédito tienen validez limitada.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Los cambios de capacidad se reflejan de inmediato en el rastreador.</w:t>
      </w:r>
    </w:p>
    <w:p>
      <w:pPr>
        <w:pStyle w:val="Compact"/>
        <w:numPr>
          <w:ilvl w:val="0"/>
          <w:numId w:val="1002"/>
        </w:numPr>
      </w:pPr>
      <w:r>
        <w:t xml:space="preserve">Quejas técnicas o no conformidades detectadas durante un cambio van a los procedimientos del SGC, no se quedan aquí.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Toda decisión con impacto económico exige autorización del Profesional de proyectos.</w:t>
      </w:r>
    </w:p>
    <w:p>
      <w:pPr>
        <w:pStyle w:val="Compact"/>
        <w:numPr>
          <w:ilvl w:val="0"/>
          <w:numId w:val="1003"/>
        </w:numPr>
      </w:pPr>
      <w:r>
        <w:t xml:space="preserve">Cada registro cita la cotización original: protege contra disputas sobre qué términos aplicaban.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