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8e8d6651be47474e181686a294e93ebe2d0215"/>
    <w:p>
      <w:pPr>
        <w:pStyle w:val="Heading1"/>
      </w:pPr>
      <w:r>
        <w:t xml:space="preserve">Entrega de informe y declaración de participación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servicio_comercial/06_entrega_retencion/CS-13_entrega_informes.md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Completar la entrega al cliente de manera consistente: el informe técnico ya lo controla el SGC; la capa comercial aporta el mensaje de entrega controlada y la declaración de participación.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Mensaje con código de participante, identificador y versión del informe, estado FINAL (ruta directa, sin informe preliminar), aviso de confidencialidad e instrucciones de acceso seguro.</w:t>
      </w:r>
    </w:p>
    <w:p>
      <w:pPr>
        <w:pStyle w:val="Compact"/>
        <w:numPr>
          <w:ilvl w:val="0"/>
          <w:numId w:val="1001"/>
        </w:numPr>
      </w:pPr>
      <w:r>
        <w:t xml:space="preserve">Plazo de apelación: 14 días calendario desde la emisión final, según el procedimiento de apelaciones del SGC.</w:t>
      </w:r>
    </w:p>
    <w:p>
      <w:pPr>
        <w:pStyle w:val="Compact"/>
        <w:numPr>
          <w:ilvl w:val="0"/>
          <w:numId w:val="1001"/>
        </w:numPr>
      </w:pPr>
      <w:r>
        <w:t xml:space="preserve">Recordatorio estándar de uso del informe: el participante puede declarar que participó, pero no que CALAIRE-EA o la ronda estén acreditadas ni que la participación pruebe competencia; distribución a terceros requiere autorización escrita.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Requiere la aprobación previa del informe dentro del SGC.</w:t>
      </w:r>
    </w:p>
    <w:p>
      <w:pPr>
        <w:pStyle w:val="Compact"/>
        <w:numPr>
          <w:ilvl w:val="0"/>
          <w:numId w:val="1002"/>
        </w:numPr>
      </w:pPr>
      <w:r>
        <w:t xml:space="preserve">Correcciones aceptadas se controlan como revisión del informe final; un error sustancial abre registro de cambios.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El recordatorio de uso del informe es texto estándar compartido: no se modifica sin aprobar el cambio simultáneamente en la hoja de decisión y aquí.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