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b9c61bf228b4a94b225269b2fc580b33211f83"/>
    <w:p>
      <w:pPr>
        <w:pStyle w:val="Heading1"/>
      </w:pPr>
      <w:r>
        <w:t xml:space="preserve">Formulario de retroalimentación del cliente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servicio_comercial/06_entrega_retencion/CS-14_retroalimentacion.md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Medir la experiencia del participante y la demanda futura del servicio al cierre de cada ronda.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12 preguntas: claridad de oferta y cotización, facilidad de registro y pago, comunicaciones, logística, utilidad del informe, valor percibido por precio, interés para la próxima ronda, NPS y comentarios libres.</w:t>
      </w:r>
    </w:p>
    <w:p>
      <w:pPr>
        <w:pStyle w:val="Compact"/>
        <w:numPr>
          <w:ilvl w:val="0"/>
          <w:numId w:val="1001"/>
        </w:numPr>
      </w:pPr>
      <w:r>
        <w:t xml:space="preserve">Opción de envío anónimo (sin vínculo al código de participante; solo vistas agregadas).</w:t>
      </w:r>
    </w:p>
    <w:p>
      <w:pPr>
        <w:pStyle w:val="Compact"/>
        <w:numPr>
          <w:ilvl w:val="0"/>
          <w:numId w:val="1001"/>
        </w:numPr>
      </w:pPr>
      <w:r>
        <w:t xml:space="preserve">Ventana de envío definida desde la entrega del informe final.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Si el participante autoriza contacto de renovación, sus preferencias de gases y periodo generan una nueva expresión de interés vinculada a su registro en el rastreador.</w:t>
      </w:r>
    </w:p>
    <w:p>
      <w:pPr>
        <w:pStyle w:val="Compact"/>
        <w:numPr>
          <w:ilvl w:val="0"/>
          <w:numId w:val="1002"/>
        </w:numPr>
      </w:pPr>
      <w:r>
        <w:t xml:space="preserve">Comentarios que revelen queja, apelación o no conformidad se enrutan al procedimiento del SGC en 1 día hábil; los temas con impacto económico abren registro de cambios.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El registro de retroalimentación no se cierra hasta que la queja quede registrada por separado en el SGC.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