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c6d061f0d126d9ad13b2fc207cd0461784d7955"/>
    <w:p>
      <w:pPr>
        <w:pStyle w:val="Heading1"/>
      </w:pPr>
      <w:r>
        <w:t xml:space="preserve">Mensaje de renovación y registro de clientes potenciales</w:t>
      </w:r>
    </w:p>
    <w:p>
      <w:pPr>
        <w:pStyle w:val="FirstParagraph"/>
      </w:pPr>
      <w:r>
        <w:rPr>
          <w:b/>
          <w:bCs/>
        </w:rPr>
        <w:t xml:space="preserve">Archivo fuente:</w:t>
      </w:r>
      <w:r>
        <w:t xml:space="preserve"> </w:t>
      </w:r>
      <w:r>
        <w:rPr>
          <w:rStyle w:val="VerbatimChar"/>
        </w:rPr>
        <w:t xml:space="preserve">servicio_comercial/06_entrega_retencion/CS-15_renovacion.md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Convertir la participación completada en demanda recurrente: agradece, invita a la siguiente ronda, recoge el interés futuro y lo registra en el canal de oportunidades.</w:t>
      </w:r>
    </w:p>
    <w:bookmarkEnd w:id="9"/>
    <w:bookmarkStart w:id="10" w:name="contenido-clave"/>
    <w:p>
      <w:pPr>
        <w:pStyle w:val="Heading2"/>
      </w:pPr>
      <w:r>
        <w:t xml:space="preserve">Contenido clave</w:t>
      </w:r>
    </w:p>
    <w:p>
      <w:pPr>
        <w:pStyle w:val="Compact"/>
        <w:numPr>
          <w:ilvl w:val="0"/>
          <w:numId w:val="1001"/>
        </w:numPr>
      </w:pPr>
      <w:r>
        <w:t xml:space="preserve">SLA de plazos: seguimiento a las 2–4 semanas del informe final, recordatorio si no hay respuesta, marca de «obsoleto» tras el umbral definido y reintento en la siguiente ronda.</w:t>
      </w:r>
    </w:p>
    <w:p>
      <w:pPr>
        <w:pStyle w:val="Compact"/>
        <w:numPr>
          <w:ilvl w:val="0"/>
          <w:numId w:val="1001"/>
        </w:numPr>
      </w:pPr>
      <w:r>
        <w:t xml:space="preserve">Contenido del mensaje: agradecimiento, enlace al formulario de retroalimentación, próximo periodo del programa, registro de gases de interés futuro y enlace a la expresión de interés.</w:t>
      </w:r>
    </w:p>
    <w:bookmarkEnd w:id="10"/>
    <w:bookmarkStart w:id="11" w:name="se-conecta-con"/>
    <w:p>
      <w:pPr>
        <w:pStyle w:val="Heading2"/>
      </w:pPr>
      <w:r>
        <w:t xml:space="preserve">Se conecta con</w:t>
      </w:r>
    </w:p>
    <w:p>
      <w:pPr>
        <w:pStyle w:val="Compact"/>
        <w:numPr>
          <w:ilvl w:val="0"/>
          <w:numId w:val="1002"/>
        </w:numPr>
      </w:pPr>
      <w:r>
        <w:t xml:space="preserve">Los clientes potenciales y su estado (activo/obsoleto) viven en el rastreador.</w:t>
      </w:r>
    </w:p>
    <w:p>
      <w:pPr>
        <w:pStyle w:val="Compact"/>
        <w:numPr>
          <w:ilvl w:val="0"/>
          <w:numId w:val="1002"/>
        </w:numPr>
      </w:pPr>
      <w:r>
        <w:t xml:space="preserve">Requiere verificar el consentimiento de mercadeo registrado en la inscripción antes de enviar.</w:t>
      </w:r>
    </w:p>
    <w:bookmarkEnd w:id="11"/>
    <w:bookmarkStart w:id="13" w:name="reglas-críticas"/>
    <w:p>
      <w:pPr>
        <w:pStyle w:val="Heading2"/>
      </w:pPr>
      <w:r>
        <w:t xml:space="preserve">Reglas críticas</w:t>
      </w:r>
    </w:p>
    <w:p>
      <w:pPr>
        <w:pStyle w:val="Compact"/>
        <w:numPr>
          <w:ilvl w:val="0"/>
          <w:numId w:val="1003"/>
        </w:numPr>
      </w:pPr>
      <w:r>
        <w:t xml:space="preserve">No inventar descuentos: sin esquema de fidelidad aprobado en el modelo de costos, el mensaje omite el tema por completo.</w:t>
      </w:r>
    </w:p>
    <w:p>
      <w:pPr>
        <w:pStyle w:val="Compact"/>
        <w:numPr>
          <w:ilvl w:val="0"/>
          <w:numId w:val="1003"/>
        </w:numPr>
      </w:pPr>
      <w:r>
        <w:t xml:space="preserve">Prohibido divulgar o hacer mercadeo con base en el desempeño confidencial del participante.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consulta · corte al 2026-07-16 · índice: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indice.md</w:t>
        </w:r>
      </w:hyperlink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indi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indi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2026-07-16T14:36:52Z</dcterms:created>
  <dcterms:modified xsi:type="dcterms:W3CDTF">2026-07-16T14:36:52Z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