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p-psea-23-mejora-continua-del-pea"/>
    <w:p>
      <w:pPr>
        <w:pStyle w:val="Heading1"/>
      </w:pPr>
      <w:r>
        <w:t xml:space="preserve">P-PSEA-23 Mejora continua del PEA</w:t>
      </w:r>
    </w:p>
    <w:bookmarkStart w:id="9" w:name="estado-documental"/>
    <w:p>
      <w:pPr>
        <w:pStyle w:val="Heading2"/>
      </w:pPr>
      <w:r>
        <w:t xml:space="preserve">Estado documental</w:t>
      </w:r>
    </w:p>
    <w:p>
      <w:pPr>
        <w:pStyle w:val="FirstParagraph"/>
      </w:pPr>
      <w:r>
        <w:t xml:space="preserve">Documento activo reservado para el procedimiento de mejora continua del PEA.</w:t>
      </w:r>
    </w:p>
    <w:p>
      <w:pPr>
        <w:pStyle w:val="BodyText"/>
      </w:pPr>
      <w:r>
        <w:t xml:space="preserve">El contenido anterior de este archivo correspondia a gestion de datos y fue retirado del documento activo por conflicto de alcance. La fuente retirada se conserva como historico en</w:t>
      </w:r>
      <w:r>
        <w:t xml:space="preserve"> </w:t>
      </w:r>
      <w:r>
        <w:rPr>
          <w:rStyle w:val="VerbatimChar"/>
        </w:rPr>
        <w:t xml:space="preserve">para_quitar/01_bloque_general/06_procedimientos_gestion/P-PSEA-23 Gestion de Datos contenido retirado.md</w:t>
      </w:r>
      <w:r>
        <w:t xml:space="preserve">.</w:t>
      </w:r>
    </w:p>
    <w:bookmarkEnd w:id="9"/>
    <w:bookmarkStart w:id="10" w:name="alcance-pendiente"/>
    <w:p>
      <w:pPr>
        <w:pStyle w:val="Heading2"/>
      </w:pPr>
      <w:r>
        <w:t xml:space="preserve">Alcance pendiente</w:t>
      </w:r>
    </w:p>
    <w:p>
      <w:pPr>
        <w:pStyle w:val="FirstParagraph"/>
      </w:pPr>
      <w:r>
        <w:t xml:space="preserve">Este procedimiento debe desarrollarse como mecanismo de mejora continua del PEA, incluyendo analisis de resultados, retroalimentacion de participantes, seguimiento de acciones, revision de tendencias, oportunidades de mejora y cierre de acciones derivadas de rondas, quejas, apelaciones, trabajo no conforme, auditorias o revision del sistema.</w:t>
      </w:r>
    </w:p>
    <w:bookmarkEnd w:id="10"/>
    <w:bookmarkStart w:id="11" w:name="relaciones-preliminares"/>
    <w:p>
      <w:pPr>
        <w:pStyle w:val="Heading2"/>
      </w:pPr>
      <w:r>
        <w:t xml:space="preserve">Relaciones preliminares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Relacion esperada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P-PSEA-15</w:t>
            </w:r>
          </w:p>
        </w:tc>
        <w:tc>
          <w:tcPr/>
          <w:p>
            <w:pPr>
              <w:pStyle w:val="Compact"/>
            </w:pPr>
            <w:r>
              <w:t xml:space="preserve">Gestion de quejas y casos relacionados.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P-PSEA-17</w:t>
            </w:r>
          </w:p>
        </w:tc>
        <w:tc>
          <w:tcPr/>
          <w:p>
            <w:pPr>
              <w:pStyle w:val="Compact"/>
            </w:pPr>
            <w:r>
              <w:t xml:space="preserve">Trabajo no conforme.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P-PSEA-18</w:t>
            </w:r>
          </w:p>
        </w:tc>
        <w:tc>
          <w:tcPr/>
          <w:p>
            <w:pPr>
              <w:pStyle w:val="Compact"/>
            </w:pPr>
            <w:r>
              <w:t xml:space="preserve">Apelaciones.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P-PSEA-19</w:t>
            </w:r>
          </w:p>
        </w:tc>
        <w:tc>
          <w:tcPr/>
          <w:p>
            <w:pPr>
              <w:pStyle w:val="Compact"/>
            </w:pPr>
            <w:r>
              <w:t xml:space="preserve">Confidencialidad e imparcialidad.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P-PSEA-21</w:t>
            </w:r>
          </w:p>
        </w:tc>
        <w:tc>
          <w:tcPr/>
          <w:p>
            <w:pPr>
              <w:pStyle w:val="Compact"/>
            </w:pPr>
            <w:r>
              <w:t xml:space="preserve">Proveedores criticos.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P-PSEA-08</w:t>
            </w:r>
          </w:p>
        </w:tc>
        <w:tc>
          <w:tcPr/>
          <w:p>
            <w:pPr>
              <w:pStyle w:val="Compact"/>
            </w:pPr>
            <w:r>
              <w:t xml:space="preserve">Flujo tecnico de datos digitales, cuando una mejora derive de datos o trazabilidad digital.</w:t>
            </w:r>
          </w:p>
        </w:tc>
      </w:tr>
    </w:tbl>
    <w:bookmarkEnd w:id="11"/>
    <w:bookmarkStart w:id="12" w:name="nota-de-control"/>
    <w:p>
      <w:pPr>
        <w:pStyle w:val="Heading2"/>
      </w:pPr>
      <w:r>
        <w:t xml:space="preserve">Nota de control</w:t>
      </w:r>
    </w:p>
    <w:p>
      <w:pPr>
        <w:pStyle w:val="FirstParagraph"/>
      </w:pPr>
      <w:r>
        <w:t xml:space="preserve">No usar este archivo para documentar gestion de datos. El flujo tecnico de datos digitales queda controlado en</w:t>
      </w:r>
      <w:r>
        <w:t xml:space="preserve"> </w:t>
      </w:r>
      <w:r>
        <w:rPr>
          <w:rStyle w:val="VerbatimChar"/>
        </w:rPr>
        <w:t xml:space="preserve">01_bloque_general/02_procedimientos/P-PSEA-08 Flujo tecnico de datos digitales del PEA.md</w:t>
      </w:r>
      <w:r>
        <w:t xml:space="preserve">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2026-06-19T12:35:43Z</dcterms:created>
  <dcterms:modified xsi:type="dcterms:W3CDTF">2026-06-19T12:35:43Z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