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psea-17-quejas-del-pea"/>
    <w:p>
      <w:pPr>
        <w:pStyle w:val="Heading1"/>
      </w:pPr>
      <w:r>
        <w:t xml:space="preserve">P-PSEA-17: Quejas del PEA</w:t>
      </w:r>
    </w:p>
    <w:p>
      <w:pPr>
        <w:pStyle w:val="FirstParagraph"/>
      </w:pPr>
      <w:r>
        <w:rPr>
          <w:b/>
          <w:bCs/>
        </w:rPr>
        <w:t xml:space="preserve">Codigo:</w:t>
      </w:r>
      <w:r>
        <w:t xml:space="preserve"> </w:t>
      </w:r>
      <w:r>
        <w:t xml:space="preserve">P-PSEA-17</w:t>
      </w:r>
      <w:r>
        <w:br/>
      </w:r>
      <w:r>
        <w:rPr>
          <w:b/>
          <w:bCs/>
        </w:rPr>
        <w:t xml:space="preserve">Tipo documental:</w:t>
      </w:r>
      <w:r>
        <w:t xml:space="preserve"> </w:t>
      </w:r>
      <w:r>
        <w:t xml:space="preserve">Procedimiento de gestion</w:t>
      </w:r>
      <w:r>
        <w:br/>
      </w:r>
      <w:r>
        <w:rPr>
          <w:b/>
          <w:bCs/>
        </w:rPr>
        <w:t xml:space="preserve">Nombre:</w:t>
      </w:r>
      <w:r>
        <w:t xml:space="preserve"> </w:t>
      </w:r>
      <w:r>
        <w:t xml:space="preserve">Quejas del PEA</w:t>
      </w:r>
      <w:r>
        <w:br/>
      </w:r>
      <w:r>
        <w:rPr>
          <w:b/>
          <w:bCs/>
        </w:rPr>
        <w:t xml:space="preserve">Version:</w:t>
      </w:r>
      <w:r>
        <w:t xml:space="preserve"> </w:t>
      </w:r>
      <w:r>
        <w:t xml:space="preserve">1.0</w:t>
      </w:r>
      <w:r>
        <w:br/>
      </w:r>
      <w:r>
        <w:rPr>
          <w:b/>
          <w:bCs/>
        </w:rPr>
        <w:t xml:space="preserve">Fecha:</w:t>
      </w:r>
      <w:r>
        <w:t xml:space="preserve"> </w:t>
      </w:r>
      <w:r>
        <w:t xml:space="preserve">2026-07-14</w:t>
      </w:r>
      <w:r>
        <w:br/>
      </w:r>
      <w:r>
        <w:rPr>
          <w:b/>
          <w:bCs/>
        </w:rPr>
        <w:t xml:space="preserve">Estado:</w:t>
      </w:r>
      <w:r>
        <w:t xml:space="preserve"> </w:t>
      </w:r>
      <w:r>
        <w:t xml:space="preserve">Preliminar - Revisar</w:t>
      </w:r>
      <w:r>
        <w:br/>
      </w:r>
      <w:r>
        <w:rPr>
          <w:b/>
          <w:bCs/>
        </w:rPr>
        <w:t xml:space="preserve">Clase:</w:t>
      </w:r>
      <w:r>
        <w:t xml:space="preserve"> </w:t>
      </w:r>
      <w:r>
        <w:t xml:space="preserve">Procedimiento activo segun mapa de navegacion SGC PEA</w:t>
      </w:r>
    </w:p>
    <w:p>
      <w:r>
        <w:pict>
          <v:rect style="width:0;height:1.5pt" o:hralign="center" o:hrstd="t" o:hr="t"/>
        </w:pict>
      </w:r>
    </w:p>
    <w:bookmarkStart w:id="11" w:name="objetivo"/>
    <w:p>
      <w:pPr>
        <w:pStyle w:val="Heading2"/>
      </w:pPr>
      <w:r>
        <w:t xml:space="preserve">1. Objetivo</w:t>
      </w:r>
    </w:p>
    <w:p>
      <w:pPr>
        <w:pStyle w:val="FirstParagraph"/>
      </w:pPr>
      <w:r>
        <w:t xml:space="preserve">Definir la recepcion, validacion, evaluacion, investigacion, respuesta y cierre de las quejas relacionadas con las actividades del PEA, garantizando imparcialidad, confidencialidad, trazabilidad y tratamiento oportuno.</w:t>
      </w:r>
    </w:p>
    <w:bookmarkEnd w:id="11"/>
    <w:bookmarkStart w:id="12" w:name="alcance"/>
    <w:p>
      <w:pPr>
        <w:pStyle w:val="Heading2"/>
      </w:pPr>
      <w:r>
        <w:t xml:space="preserve">2. Alcance</w:t>
      </w:r>
    </w:p>
    <w:p>
      <w:pPr>
        <w:pStyle w:val="FirstParagraph"/>
      </w:pPr>
      <w:r>
        <w:t xml:space="preserve">Este procedimiento aplica a quejas presentadas por participantes u otras partes interesadas sobre:</w:t>
      </w:r>
    </w:p>
    <w:p>
      <w:pPr>
        <w:pStyle w:val="Compact"/>
        <w:numPr>
          <w:ilvl w:val="0"/>
          <w:numId w:val="1001"/>
        </w:numPr>
      </w:pPr>
      <w:r>
        <w:t xml:space="preserve">La prestacion del servicio del PEA.</w:t>
      </w:r>
    </w:p>
    <w:p>
      <w:pPr>
        <w:pStyle w:val="Compact"/>
        <w:numPr>
          <w:ilvl w:val="0"/>
          <w:numId w:val="1001"/>
        </w:numPr>
      </w:pPr>
      <w:r>
        <w:t xml:space="preserve">La actuacion del personal o de proveedores que intervienen en el esquema.</w:t>
      </w:r>
    </w:p>
    <w:p>
      <w:pPr>
        <w:pStyle w:val="Compact"/>
        <w:numPr>
          <w:ilvl w:val="0"/>
          <w:numId w:val="1001"/>
        </w:numPr>
      </w:pPr>
      <w:r>
        <w:t xml:space="preserve">Las comunicaciones, plazos o atencion recibida.</w:t>
      </w:r>
    </w:p>
    <w:p>
      <w:pPr>
        <w:pStyle w:val="Compact"/>
        <w:numPr>
          <w:ilvl w:val="0"/>
          <w:numId w:val="1001"/>
        </w:numPr>
      </w:pPr>
      <w:r>
        <w:t xml:space="preserve">La preparacion, distribucion o manejo de los items de ensayo.</w:t>
      </w:r>
    </w:p>
    <w:p>
      <w:pPr>
        <w:pStyle w:val="Compact"/>
        <w:numPr>
          <w:ilvl w:val="0"/>
          <w:numId w:val="1001"/>
        </w:numPr>
      </w:pPr>
      <w:r>
        <w:t xml:space="preserve">La operacion de las plataformas y los canales dispuestos por el PEA.</w:t>
      </w:r>
    </w:p>
    <w:p>
      <w:pPr>
        <w:pStyle w:val="Compact"/>
        <w:numPr>
          <w:ilvl w:val="0"/>
          <w:numId w:val="1001"/>
        </w:numPr>
      </w:pPr>
      <w:r>
        <w:t xml:space="preserve">Cualquier actividad del PEA que pueda afectar el cumplimiento de sus requisitos.</w:t>
      </w:r>
    </w:p>
    <w:p>
      <w:pPr>
        <w:pStyle w:val="FirstParagraph"/>
      </w:pPr>
      <w:r>
        <w:t xml:space="preserve">No aplica a:</w:t>
      </w:r>
    </w:p>
    <w:p>
      <w:pPr>
        <w:pStyle w:val="Compact"/>
        <w:numPr>
          <w:ilvl w:val="0"/>
          <w:numId w:val="1002"/>
        </w:numPr>
      </w:pPr>
      <w:r>
        <w:t xml:space="preserve">Apelaciones contra resultados o decisiones del PEA, gestionadas mediante</w:t>
      </w:r>
      <w:r>
        <w:t xml:space="preserve"> </w:t>
      </w:r>
      <w:r>
        <w:rPr>
          <w:rStyle w:val="VerbatimChar"/>
        </w:rPr>
        <w:t xml:space="preserve">P-PSEA-18</w:t>
      </w:r>
      <w:r>
        <w:t xml:space="preserve"> </w:t>
      </w:r>
      <w:r>
        <w:t xml:space="preserve">y</w:t>
      </w:r>
      <w:r>
        <w:t xml:space="preserve"> </w:t>
      </w:r>
      <w:r>
        <w:rPr>
          <w:rStyle w:val="VerbatimChar"/>
        </w:rPr>
        <w:t xml:space="preserve">F-PSEA-15</w:t>
      </w:r>
      <w:r>
        <w:t xml:space="preserve">.</w:t>
      </w:r>
    </w:p>
    <w:p>
      <w:pPr>
        <w:pStyle w:val="Compact"/>
        <w:numPr>
          <w:ilvl w:val="0"/>
          <w:numId w:val="1002"/>
        </w:numPr>
      </w:pPr>
      <w:r>
        <w:t xml:space="preserve">Solicitudes ordinarias de informacion o aclaracion, gestionadas mediante</w:t>
      </w:r>
      <w:r>
        <w:t xml:space="preserve"> </w:t>
      </w:r>
      <w:r>
        <w:rPr>
          <w:rStyle w:val="VerbatimChar"/>
        </w:rPr>
        <w:t xml:space="preserve">P-PSEA-05</w:t>
      </w:r>
      <w:r>
        <w:t xml:space="preserve">.</w:t>
      </w:r>
    </w:p>
    <w:p>
      <w:pPr>
        <w:pStyle w:val="Compact"/>
        <w:numPr>
          <w:ilvl w:val="0"/>
          <w:numId w:val="1002"/>
        </w:numPr>
      </w:pPr>
      <w:r>
        <w:t xml:space="preserve">Trabajo no conforme, no conformidades o acciones correctivas que no se originen en una queja, gestionados mediante</w:t>
      </w:r>
      <w:r>
        <w:t xml:space="preserve"> </w:t>
      </w:r>
      <w:r>
        <w:rPr>
          <w:rStyle w:val="VerbatimChar"/>
        </w:rPr>
        <w:t xml:space="preserve">P-PSEA-15</w:t>
      </w:r>
      <w:r>
        <w:t xml:space="preserve">.</w:t>
      </w:r>
    </w:p>
    <w:p>
      <w:pPr>
        <w:pStyle w:val="Compact"/>
        <w:numPr>
          <w:ilvl w:val="0"/>
          <w:numId w:val="1002"/>
        </w:numPr>
      </w:pPr>
      <w:r>
        <w:t xml:space="preserve">Sospechas de colusion o falsificacion, gestionadas mediante</w:t>
      </w:r>
      <w:r>
        <w:t xml:space="preserve"> </w:t>
      </w:r>
      <w:r>
        <w:rPr>
          <w:rStyle w:val="VerbatimChar"/>
        </w:rPr>
        <w:t xml:space="preserve">P-PSEA-14</w:t>
      </w:r>
      <w:r>
        <w:t xml:space="preserve">.</w:t>
      </w:r>
    </w:p>
    <w:bookmarkEnd w:id="12"/>
    <w:bookmarkStart w:id="13" w:name="responsables"/>
    <w:p>
      <w:pPr>
        <w:pStyle w:val="Heading2"/>
      </w:pPr>
      <w:r>
        <w:t xml:space="preserve">3. Responsables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Responsabilidad</w:t>
            </w:r>
          </w:p>
        </w:tc>
      </w:tr>
      <w:tr>
        <w:tc>
          <w:tcPr/>
          <w:p>
            <w:pPr>
              <w:pStyle w:val="Compact"/>
            </w:pPr>
            <w:r>
              <w:t xml:space="preserve">Parte interesada</w:t>
            </w:r>
          </w:p>
        </w:tc>
        <w:tc>
          <w:tcPr/>
          <w:p>
            <w:pPr>
              <w:pStyle w:val="Compact"/>
            </w:pPr>
            <w:r>
              <w:t xml:space="preserve">Presentar la queja por un canal autorizado y aportar la informacion disponible.</w:t>
            </w:r>
          </w:p>
        </w:tc>
      </w:tr>
      <w:tr>
        <w:tc>
          <w:tcPr/>
          <w:p>
            <w:pPr>
              <w:pStyle w:val="Compact"/>
            </w:pPr>
            <w:r>
              <w:t xml:space="preserve">Recepcionista oficial del PEA</w:t>
            </w:r>
          </w:p>
        </w:tc>
        <w:tc>
          <w:tcPr/>
          <w:p>
            <w:pPr>
              <w:pStyle w:val="Compact"/>
            </w:pPr>
            <w:r>
              <w:t xml:space="preserve">Recibir la queja, confirmar su recepcion y asegurar su registro.</w:t>
            </w:r>
          </w:p>
        </w:tc>
      </w:tr>
      <w:tr>
        <w:tc>
          <w:tcPr/>
          <w:p>
            <w:pPr>
              <w:pStyle w:val="Compact"/>
            </w:pPr>
            <w:r>
              <w:t xml:space="preserve">Responsable de calidad</w:t>
            </w:r>
          </w:p>
        </w:tc>
        <w:tc>
          <w:tcPr/>
          <w:p>
            <w:pPr>
              <w:pStyle w:val="Compact"/>
            </w:pPr>
            <w:r>
              <w:t xml:space="preserve">Validar la clasificacion, designar al responsable del caso y supervisar su tratamiento.</w:t>
            </w:r>
          </w:p>
        </w:tc>
      </w:tr>
      <w:tr>
        <w:tc>
          <w:tcPr/>
          <w:p>
            <w:pPr>
              <w:pStyle w:val="Compact"/>
            </w:pPr>
            <w:r>
              <w:t xml:space="preserve">Responsable del caso SGC</w:t>
            </w:r>
          </w:p>
        </w:tc>
        <w:tc>
          <w:tcPr/>
          <w:p>
            <w:pPr>
              <w:pStyle w:val="Compact"/>
            </w:pPr>
            <w:r>
              <w:t xml:space="preserve">Investigar la queja, recopilar evidencias, proponer la respuesta y mantener actualizado el registro.</w:t>
            </w:r>
          </w:p>
        </w:tc>
      </w:tr>
      <w:tr>
        <w:tc>
          <w:tcPr/>
          <w:p>
            <w:pPr>
              <w:pStyle w:val="Compact"/>
            </w:pPr>
            <w:r>
              <w:t xml:space="preserve">Responsable de decision</w:t>
            </w:r>
          </w:p>
        </w:tc>
        <w:tc>
          <w:tcPr/>
          <w:p>
            <w:pPr>
              <w:pStyle w:val="Compact"/>
            </w:pPr>
            <w:r>
              <w:t xml:space="preserve">Revisar la evaluacion y aprobar la decision y la respuesta al reclamante.</w:t>
            </w:r>
          </w:p>
        </w:tc>
      </w:tr>
      <w:tr>
        <w:tc>
          <w:tcPr/>
          <w:p>
            <w:pPr>
              <w:pStyle w:val="Compact"/>
            </w:pPr>
            <w:r>
              <w:t xml:space="preserve">Alta direccion del PEA</w:t>
            </w:r>
          </w:p>
        </w:tc>
        <w:tc>
          <w:tcPr/>
          <w:p>
            <w:pPr>
              <w:pStyle w:val="Compact"/>
            </w:pPr>
            <w:r>
              <w:t xml:space="preserve">Resolver conflictos de interes y casos que comprometan la imparcialidad, la validez del esquema o su reputacion.</w:t>
            </w:r>
          </w:p>
        </w:tc>
      </w:tr>
    </w:tbl>
    <w:p>
      <w:pPr>
        <w:pStyle w:val="BodyText"/>
      </w:pPr>
      <w:r>
        <w:t xml:space="preserve">Quienes hayan participado directamente en la actividad objeto de la queja no deben aprobar su evaluacion ni su decision. Cuando no sea posible asegurar independencia interna, el responsable de calidad debe designar una persona competente que no esté involucrada en el asunto y documentar la medida adoptada.</w:t>
      </w:r>
    </w:p>
    <w:bookmarkEnd w:id="13"/>
    <w:bookmarkStart w:id="20" w:name="desarrollo"/>
    <w:p>
      <w:pPr>
        <w:pStyle w:val="Heading2"/>
      </w:pPr>
      <w:r>
        <w:t xml:space="preserve">4. Desarrollo</w:t>
      </w:r>
    </w:p>
    <w:bookmarkStart w:id="14" w:name="recepcion-y-acuse"/>
    <w:p>
      <w:pPr>
        <w:pStyle w:val="Heading3"/>
      </w:pPr>
      <w:r>
        <w:t xml:space="preserve">4.1 Recepcion y acuse</w:t>
      </w:r>
    </w:p>
    <w:p>
      <w:pPr>
        <w:pStyle w:val="FirstParagraph"/>
      </w:pPr>
      <w:r>
        <w:t xml:space="preserve">La queja debe recibirse por correo electronico institucional u otro canal formal definido en</w:t>
      </w:r>
      <w:r>
        <w:t xml:space="preserve"> </w:t>
      </w:r>
      <w:r>
        <w:rPr>
          <w:rStyle w:val="VerbatimChar"/>
        </w:rPr>
        <w:t xml:space="preserve">P-PSEA-05</w:t>
      </w:r>
      <w:r>
        <w:t xml:space="preserve">. Al recibirla, el PEA debe:</w:t>
      </w:r>
    </w:p>
    <w:p>
      <w:pPr>
        <w:pStyle w:val="Compact"/>
        <w:numPr>
          <w:ilvl w:val="0"/>
          <w:numId w:val="1003"/>
        </w:numPr>
      </w:pPr>
      <w:r>
        <w:t xml:space="preserve">Registrar la fecha, el canal, el reclamante, la descripcion y la ronda afectada, cuando aplique.</w:t>
      </w:r>
    </w:p>
    <w:p>
      <w:pPr>
        <w:pStyle w:val="Compact"/>
        <w:numPr>
          <w:ilvl w:val="0"/>
          <w:numId w:val="1003"/>
        </w:numPr>
      </w:pPr>
      <w:r>
        <w:t xml:space="preserve">Asignar un identificador unico en</w:t>
      </w:r>
      <w:r>
        <w:t xml:space="preserve"> </w:t>
      </w:r>
      <w:r>
        <w:rPr>
          <w:rStyle w:val="VerbatimChar"/>
        </w:rPr>
        <w:t xml:space="preserve">F-PSEA-14</w:t>
      </w:r>
      <w:r>
        <w:t xml:space="preserve"> </w:t>
      </w:r>
      <w:r>
        <w:t xml:space="preserve">o en el modulo de casos SGC de</w:t>
      </w:r>
      <w:r>
        <w:t xml:space="preserve"> </w:t>
      </w:r>
      <w:r>
        <w:rPr>
          <w:rStyle w:val="VerbatimChar"/>
        </w:rPr>
        <w:t xml:space="preserve">calaire-app</w:t>
      </w:r>
      <w:r>
        <w:t xml:space="preserve">.</w:t>
      </w:r>
    </w:p>
    <w:p>
      <w:pPr>
        <w:pStyle w:val="Compact"/>
        <w:numPr>
          <w:ilvl w:val="0"/>
          <w:numId w:val="1003"/>
        </w:numPr>
      </w:pPr>
      <w:r>
        <w:t xml:space="preserve">Confirmar la recepcion al reclamante e informar el canal de seguimiento.</w:t>
      </w:r>
    </w:p>
    <w:p>
      <w:pPr>
        <w:pStyle w:val="Compact"/>
        <w:numPr>
          <w:ilvl w:val="0"/>
          <w:numId w:val="1003"/>
        </w:numPr>
      </w:pPr>
      <w:r>
        <w:t xml:space="preserve">Proteger la identidad y la informacion sensible conforme a</w:t>
      </w:r>
      <w:r>
        <w:t xml:space="preserve"> </w:t>
      </w:r>
      <w:r>
        <w:rPr>
          <w:rStyle w:val="VerbatimChar"/>
        </w:rPr>
        <w:t xml:space="preserve">P-PSEA-19</w:t>
      </w:r>
      <w:r>
        <w:t xml:space="preserve">.</w:t>
      </w:r>
    </w:p>
    <w:p>
      <w:pPr>
        <w:pStyle w:val="FirstParagraph"/>
      </w:pPr>
      <w:r>
        <w:t xml:space="preserve">Las quejas verbales deben documentarse y confirmarse por un canal formal antes de iniciar su evaluacion, siempre que sea posible.</w:t>
      </w:r>
    </w:p>
    <w:bookmarkEnd w:id="14"/>
    <w:bookmarkStart w:id="15" w:name="validacion-y-clasificacion"/>
    <w:p>
      <w:pPr>
        <w:pStyle w:val="Heading3"/>
      </w:pPr>
      <w:r>
        <w:t xml:space="preserve">4.2 Validacion y clasificacion</w:t>
      </w:r>
    </w:p>
    <w:p>
      <w:pPr>
        <w:pStyle w:val="FirstParagraph"/>
      </w:pPr>
      <w:r>
        <w:t xml:space="preserve">El responsable de calidad verifica que la comunicacion se relacione con actividades bajo responsabilidad del PEA y que exista informacion suficiente para su tratamiento.</w:t>
      </w:r>
    </w:p>
    <w:p>
      <w:pPr>
        <w:pStyle w:val="BodyText"/>
      </w:pPr>
      <w:r>
        <w:t xml:space="preserve">El caso debe clasificarse como:</w:t>
      </w:r>
    </w:p>
    <w:p>
      <w:pPr>
        <w:pStyle w:val="Compact"/>
        <w:numPr>
          <w:ilvl w:val="0"/>
          <w:numId w:val="1004"/>
        </w:numPr>
      </w:pPr>
      <w:r>
        <w:t xml:space="preserve">Queja admisible.</w:t>
      </w:r>
    </w:p>
    <w:p>
      <w:pPr>
        <w:pStyle w:val="Compact"/>
        <w:numPr>
          <w:ilvl w:val="0"/>
          <w:numId w:val="1004"/>
        </w:numPr>
      </w:pPr>
      <w:r>
        <w:t xml:space="preserve">Queja no admisible, con justificacion documentada.</w:t>
      </w:r>
    </w:p>
    <w:p>
      <w:pPr>
        <w:pStyle w:val="Compact"/>
        <w:numPr>
          <w:ilvl w:val="0"/>
          <w:numId w:val="1004"/>
        </w:numPr>
      </w:pPr>
      <w:r>
        <w:t xml:space="preserve">Apelacion, para traslado a</w:t>
      </w:r>
      <w:r>
        <w:t xml:space="preserve"> </w:t>
      </w:r>
      <w:r>
        <w:rPr>
          <w:rStyle w:val="VerbatimChar"/>
        </w:rPr>
        <w:t xml:space="preserve">P-PSEA-18</w:t>
      </w:r>
      <w:r>
        <w:t xml:space="preserve">.</w:t>
      </w:r>
    </w:p>
    <w:p>
      <w:pPr>
        <w:pStyle w:val="Compact"/>
        <w:numPr>
          <w:ilvl w:val="0"/>
          <w:numId w:val="1004"/>
        </w:numPr>
      </w:pPr>
      <w:r>
        <w:t xml:space="preserve">Solicitud de informacion o aclaracion, para traslado a</w:t>
      </w:r>
      <w:r>
        <w:t xml:space="preserve"> </w:t>
      </w:r>
      <w:r>
        <w:rPr>
          <w:rStyle w:val="VerbatimChar"/>
        </w:rPr>
        <w:t xml:space="preserve">P-PSEA-05</w:t>
      </w:r>
      <w:r>
        <w:t xml:space="preserve">.</w:t>
      </w:r>
    </w:p>
    <w:p>
      <w:pPr>
        <w:pStyle w:val="Compact"/>
        <w:numPr>
          <w:ilvl w:val="0"/>
          <w:numId w:val="1004"/>
        </w:numPr>
      </w:pPr>
      <w:r>
        <w:t xml:space="preserve">Posible trabajo no conforme o no conformidad, para tratamiento conjunto con</w:t>
      </w:r>
      <w:r>
        <w:t xml:space="preserve"> </w:t>
      </w:r>
      <w:r>
        <w:rPr>
          <w:rStyle w:val="VerbatimChar"/>
        </w:rPr>
        <w:t xml:space="preserve">P-PSEA-15</w:t>
      </w:r>
      <w:r>
        <w:t xml:space="preserve">.</w:t>
      </w:r>
    </w:p>
    <w:p>
      <w:pPr>
        <w:pStyle w:val="Compact"/>
        <w:numPr>
          <w:ilvl w:val="0"/>
          <w:numId w:val="1004"/>
        </w:numPr>
      </w:pPr>
      <w:r>
        <w:t xml:space="preserve">Posible colusion o falsificacion, para traslado a</w:t>
      </w:r>
      <w:r>
        <w:t xml:space="preserve"> </w:t>
      </w:r>
      <w:r>
        <w:rPr>
          <w:rStyle w:val="VerbatimChar"/>
        </w:rPr>
        <w:t xml:space="preserve">P-PSEA-14</w:t>
      </w:r>
      <w:r>
        <w:t xml:space="preserve">.</w:t>
      </w:r>
    </w:p>
    <w:p>
      <w:pPr>
        <w:pStyle w:val="FirstParagraph"/>
      </w:pPr>
      <w:r>
        <w:t xml:space="preserve">La clasificacion y cualquier traslado deben comunicarse al reclamante sin divulgar informacion confidencial.</w:t>
      </w:r>
    </w:p>
    <w:bookmarkEnd w:id="15"/>
    <w:bookmarkStart w:id="16" w:name="designacion-e-imparcialidad"/>
    <w:p>
      <w:pPr>
        <w:pStyle w:val="Heading3"/>
      </w:pPr>
      <w:r>
        <w:t xml:space="preserve">4.3 Designacion e imparcialidad</w:t>
      </w:r>
    </w:p>
    <w:p>
      <w:pPr>
        <w:pStyle w:val="FirstParagraph"/>
      </w:pPr>
      <w:r>
        <w:t xml:space="preserve">El responsable de calidad designa a una persona competente para evaluar la queja. Antes de iniciar la investigacion debe verificar y documentar que el evaluador y quien apruebe la decision no tengan conflicto de interes ni participacion directa en el asunto.</w:t>
      </w:r>
    </w:p>
    <w:p>
      <w:pPr>
        <w:pStyle w:val="BodyText"/>
      </w:pPr>
      <w:r>
        <w:t xml:space="preserve">La presentacion de una queja no debe generar acciones discriminatorias contra el reclamante.</w:t>
      </w:r>
    </w:p>
    <w:bookmarkEnd w:id="16"/>
    <w:bookmarkStart w:id="17" w:name="investigacion-y-evaluacion"/>
    <w:p>
      <w:pPr>
        <w:pStyle w:val="Heading3"/>
      </w:pPr>
      <w:r>
        <w:t xml:space="preserve">4.4 Investigacion y evaluacion</w:t>
      </w:r>
    </w:p>
    <w:p>
      <w:pPr>
        <w:pStyle w:val="FirstParagraph"/>
      </w:pPr>
      <w:r>
        <w:t xml:space="preserve">El responsable del caso debe recopilar y verificar la informacion necesaria, que puede incluir:</w:t>
      </w:r>
    </w:p>
    <w:p>
      <w:pPr>
        <w:pStyle w:val="Compact"/>
        <w:numPr>
          <w:ilvl w:val="0"/>
          <w:numId w:val="1005"/>
        </w:numPr>
      </w:pPr>
      <w:r>
        <w:t xml:space="preserve">La comunicacion original y sus anexos.</w:t>
      </w:r>
    </w:p>
    <w:p>
      <w:pPr>
        <w:pStyle w:val="Compact"/>
        <w:numPr>
          <w:ilvl w:val="0"/>
          <w:numId w:val="1005"/>
        </w:numPr>
      </w:pPr>
      <w:r>
        <w:t xml:space="preserve">Registros de la ronda y trazabilidad de las actuaciones.</w:t>
      </w:r>
    </w:p>
    <w:p>
      <w:pPr>
        <w:pStyle w:val="Compact"/>
        <w:numPr>
          <w:ilvl w:val="0"/>
          <w:numId w:val="1005"/>
        </w:numPr>
      </w:pPr>
      <w:r>
        <w:t xml:space="preserve">Comunicaciones con el participante.</w:t>
      </w:r>
    </w:p>
    <w:p>
      <w:pPr>
        <w:pStyle w:val="Compact"/>
        <w:numPr>
          <w:ilvl w:val="0"/>
          <w:numId w:val="1005"/>
        </w:numPr>
      </w:pPr>
      <w:r>
        <w:t xml:space="preserve">Registros tecnicos, administrativos o del aplicativo.</w:t>
      </w:r>
    </w:p>
    <w:p>
      <w:pPr>
        <w:pStyle w:val="Compact"/>
        <w:numPr>
          <w:ilvl w:val="0"/>
          <w:numId w:val="1005"/>
        </w:numPr>
      </w:pPr>
      <w:r>
        <w:t xml:space="preserve">Declaraciones del personal o de proveedores involucrados.</w:t>
      </w:r>
    </w:p>
    <w:p>
      <w:pPr>
        <w:pStyle w:val="Compact"/>
        <w:numPr>
          <w:ilvl w:val="0"/>
          <w:numId w:val="1005"/>
        </w:numPr>
      </w:pPr>
      <w:r>
        <w:t xml:space="preserve">Requisitos contractuales, normativos y documentales aplicables.</w:t>
      </w:r>
    </w:p>
    <w:p>
      <w:pPr>
        <w:pStyle w:val="FirstParagraph"/>
      </w:pPr>
      <w:r>
        <w:t xml:space="preserve">El analisis, las evidencias revisadas y las conclusiones deben quedar documentados en</w:t>
      </w:r>
      <w:r>
        <w:t xml:space="preserve"> </w:t>
      </w:r>
      <w:r>
        <w:rPr>
          <w:rStyle w:val="VerbatimChar"/>
        </w:rPr>
        <w:t xml:space="preserve">F-PSEA-14</w:t>
      </w:r>
      <w:r>
        <w:t xml:space="preserve">. Cuando la queja revele trabajo no conforme o una no conformidad, se deben aplicar las correcciones y acciones correspondientes conforme a</w:t>
      </w:r>
      <w:r>
        <w:t xml:space="preserve"> </w:t>
      </w:r>
      <w:r>
        <w:rPr>
          <w:rStyle w:val="VerbatimChar"/>
        </w:rPr>
        <w:t xml:space="preserve">P-PSEA-15</w:t>
      </w:r>
      <w:r>
        <w:t xml:space="preserve">, sin perder el vinculo con el caso original.</w:t>
      </w:r>
    </w:p>
    <w:bookmarkEnd w:id="17"/>
    <w:bookmarkStart w:id="18" w:name="decision-y-respuesta"/>
    <w:p>
      <w:pPr>
        <w:pStyle w:val="Heading3"/>
      </w:pPr>
      <w:r>
        <w:t xml:space="preserve">4.5 Decision y respuesta</w:t>
      </w:r>
    </w:p>
    <w:p>
      <w:pPr>
        <w:pStyle w:val="FirstParagraph"/>
      </w:pPr>
      <w:r>
        <w:t xml:space="preserve">La decision debe ser revisada y aprobada por una persona que no haya participado en la actividad que origino la queja. El resultado puede ser:</w:t>
      </w:r>
    </w:p>
    <w:p>
      <w:pPr>
        <w:pStyle w:val="Compact"/>
        <w:numPr>
          <w:ilvl w:val="0"/>
          <w:numId w:val="1006"/>
        </w:numPr>
      </w:pPr>
      <w:r>
        <w:t xml:space="preserve">Procedente.</w:t>
      </w:r>
    </w:p>
    <w:p>
      <w:pPr>
        <w:pStyle w:val="Compact"/>
        <w:numPr>
          <w:ilvl w:val="0"/>
          <w:numId w:val="1006"/>
        </w:numPr>
      </w:pPr>
      <w:r>
        <w:t xml:space="preserve">No procedente.</w:t>
      </w:r>
    </w:p>
    <w:p>
      <w:pPr>
        <w:pStyle w:val="Compact"/>
        <w:numPr>
          <w:ilvl w:val="0"/>
          <w:numId w:val="1006"/>
        </w:numPr>
      </w:pPr>
      <w:r>
        <w:t xml:space="preserve">Parcialmente procedente.</w:t>
      </w:r>
    </w:p>
    <w:p>
      <w:pPr>
        <w:pStyle w:val="FirstParagraph"/>
      </w:pPr>
      <w:r>
        <w:t xml:space="preserve">La respuesta al reclamante debe emitirse por un canal formal e incluir, como minimo, la conclusion, su fundamento y las acciones adoptadas que puedan comunicarse. Cuando la investigacion requiera mas tiempo, el PEA debe informar el avance y mantener trazabilidad de las comunicaciones.</w:t>
      </w:r>
    </w:p>
    <w:bookmarkEnd w:id="18"/>
    <w:bookmarkStart w:id="19" w:name="seguimiento-y-cierre"/>
    <w:p>
      <w:pPr>
        <w:pStyle w:val="Heading3"/>
      </w:pPr>
      <w:r>
        <w:t xml:space="preserve">4.6 Seguimiento y cierre</w:t>
      </w:r>
    </w:p>
    <w:p>
      <w:pPr>
        <w:pStyle w:val="FirstParagraph"/>
      </w:pPr>
      <w:r>
        <w:t xml:space="preserve">La queja se cierra cuando:</w:t>
      </w:r>
    </w:p>
    <w:p>
      <w:pPr>
        <w:pStyle w:val="Compact"/>
        <w:numPr>
          <w:ilvl w:val="0"/>
          <w:numId w:val="1007"/>
        </w:numPr>
      </w:pPr>
      <w:r>
        <w:t xml:space="preserve">La decision fue aprobada y comunicada al reclamante.</w:t>
      </w:r>
    </w:p>
    <w:p>
      <w:pPr>
        <w:pStyle w:val="Compact"/>
        <w:numPr>
          <w:ilvl w:val="0"/>
          <w:numId w:val="1007"/>
        </w:numPr>
      </w:pPr>
      <w:r>
        <w:t xml:space="preserve">Las evidencias y comunicaciones quedaron archivadas.</w:t>
      </w:r>
    </w:p>
    <w:p>
      <w:pPr>
        <w:pStyle w:val="Compact"/>
        <w:numPr>
          <w:ilvl w:val="0"/>
          <w:numId w:val="1007"/>
        </w:numPr>
      </w:pPr>
      <w:r>
        <w:t xml:space="preserve">Las correcciones inmediatas fueron ejecutadas.</w:t>
      </w:r>
    </w:p>
    <w:p>
      <w:pPr>
        <w:pStyle w:val="Compact"/>
        <w:numPr>
          <w:ilvl w:val="0"/>
          <w:numId w:val="1007"/>
        </w:numPr>
      </w:pPr>
      <w:r>
        <w:t xml:space="preserve">Las acciones derivadas quedaron cerradas o formalmente transferidas a</w:t>
      </w:r>
      <w:r>
        <w:t xml:space="preserve"> </w:t>
      </w:r>
      <w:r>
        <w:rPr>
          <w:rStyle w:val="VerbatimChar"/>
        </w:rPr>
        <w:t xml:space="preserve">P-PSEA-15</w:t>
      </w:r>
      <w:r>
        <w:t xml:space="preserve"> </w:t>
      </w:r>
      <w:r>
        <w:t xml:space="preserve">u otro procedimiento aplicable.</w:t>
      </w:r>
    </w:p>
    <w:p>
      <w:pPr>
        <w:pStyle w:val="Compact"/>
        <w:numPr>
          <w:ilvl w:val="0"/>
          <w:numId w:val="1007"/>
        </w:numPr>
      </w:pPr>
      <w:r>
        <w:t xml:space="preserve">Se registro la fecha y la aprobacion del cierre.</w:t>
      </w:r>
    </w:p>
    <w:p>
      <w:pPr>
        <w:pStyle w:val="FirstParagraph"/>
      </w:pPr>
      <w:r>
        <w:t xml:space="preserve">El responsable de calidad debe conservar la trazabilidad del caso y considerar las tendencias de quejas como entrada para la mejora continua definida en</w:t>
      </w:r>
      <w:r>
        <w:t xml:space="preserve"> </w:t>
      </w:r>
      <w:r>
        <w:rPr>
          <w:rStyle w:val="VerbatimChar"/>
        </w:rPr>
        <w:t xml:space="preserve">P-PSEA-23</w:t>
      </w:r>
      <w:r>
        <w:t xml:space="preserve">.</w:t>
      </w:r>
    </w:p>
    <w:bookmarkEnd w:id="19"/>
    <w:bookmarkEnd w:id="20"/>
    <w:bookmarkStart w:id="21" w:name="registro-asociado"/>
    <w:p>
      <w:pPr>
        <w:pStyle w:val="Heading2"/>
      </w:pPr>
      <w:r>
        <w:t xml:space="preserve">5. Registro asociado</w:t>
      </w:r>
    </w:p>
    <w:p>
      <w:pPr>
        <w:pStyle w:val="FirstParagraph"/>
      </w:pPr>
      <w:r>
        <w:t xml:space="preserve">Las quejas y los casos de no conformidad que se deriven de ellas se documentan en</w:t>
      </w:r>
      <w:r>
        <w:t xml:space="preserve"> </w:t>
      </w:r>
      <w:r>
        <w:rPr>
          <w:rStyle w:val="VerbatimChar"/>
        </w:rPr>
        <w:t xml:space="preserve">F-PSEA-14 - Registro/caso de queja o NC segun aplique</w:t>
      </w:r>
      <w:r>
        <w:t xml:space="preserve"> </w:t>
      </w:r>
      <w:r>
        <w:t xml:space="preserve">y, cuando corresponda, en el modulo de casos SGC de</w:t>
      </w:r>
      <w:r>
        <w:t xml:space="preserve"> </w:t>
      </w:r>
      <w:r>
        <w:rPr>
          <w:rStyle w:val="VerbatimChar"/>
        </w:rPr>
        <w:t xml:space="preserve">calaire-app</w:t>
      </w:r>
      <w:r>
        <w:t xml:space="preserve">.</w:t>
      </w:r>
    </w:p>
    <w:bookmarkEnd w:id="21"/>
    <w:bookmarkStart w:id="22" w:name="relaciones-documentales"/>
    <w:p>
      <w:pPr>
        <w:pStyle w:val="Heading2"/>
      </w:pPr>
      <w:r>
        <w:t xml:space="preserve">6. Relaciones documentales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Codigo</w:t>
            </w:r>
          </w:p>
        </w:tc>
        <w:tc>
          <w:tcPr/>
          <w:p>
            <w:pPr>
              <w:pStyle w:val="Compact"/>
            </w:pPr>
            <w:r>
              <w:t xml:space="preserve">Relacion</w:t>
            </w:r>
          </w:p>
        </w:tc>
        <w:tc>
          <w:tcPr/>
          <w:p>
            <w:pPr>
              <w:pStyle w:val="Compact"/>
            </w:pPr>
            <w:r>
              <w:t xml:space="preserve">Tipo de vinculo</w:t>
            </w:r>
          </w:p>
        </w:tc>
      </w:tr>
      <w:tr>
        <w:tc>
          <w:tcPr/>
          <w:p>
            <w:pPr>
              <w:pStyle w:val="Compact"/>
            </w:pPr>
            <w:r>
              <w:rPr>
                <w:rStyle w:val="VerbatimChar"/>
              </w:rPr>
              <w:t xml:space="preserve">F-PSEA-14</w:t>
            </w:r>
          </w:p>
        </w:tc>
        <w:tc>
          <w:tcPr/>
          <w:p>
            <w:pPr>
              <w:pStyle w:val="Compact"/>
            </w:pPr>
            <w:r>
              <w:t xml:space="preserve">Registro de la queja y de las NC derivadas.</w:t>
            </w:r>
          </w:p>
        </w:tc>
        <w:tc>
          <w:tcPr/>
          <w:p>
            <w:pPr>
              <w:pStyle w:val="Compact"/>
            </w:pPr>
            <w:r>
              <w:t xml:space="preserve">Obligatorio</w:t>
            </w:r>
          </w:p>
        </w:tc>
      </w:tr>
      <w:tr>
        <w:tc>
          <w:tcPr/>
          <w:p>
            <w:pPr>
              <w:pStyle w:val="Compact"/>
            </w:pPr>
            <w:r>
              <w:rPr>
                <w:rStyle w:val="VerbatimChar"/>
              </w:rPr>
              <w:t xml:space="preserve">P-PSEA-05</w:t>
            </w:r>
          </w:p>
        </w:tc>
        <w:tc>
          <w:tcPr/>
          <w:p>
            <w:pPr>
              <w:pStyle w:val="Compact"/>
            </w:pPr>
            <w:r>
              <w:t xml:space="preserve">Comunicaciones oficiales del PEA.</w:t>
            </w:r>
          </w:p>
        </w:tc>
        <w:tc>
          <w:tcPr/>
          <w:p>
            <w:pPr>
              <w:pStyle w:val="Compact"/>
            </w:pPr>
            <w:r>
              <w:t xml:space="preserve">Obligatorio</w:t>
            </w:r>
          </w:p>
        </w:tc>
      </w:tr>
      <w:tr>
        <w:tc>
          <w:tcPr/>
          <w:p>
            <w:pPr>
              <w:pStyle w:val="Compact"/>
            </w:pPr>
            <w:r>
              <w:rPr>
                <w:rStyle w:val="VerbatimChar"/>
              </w:rPr>
              <w:t xml:space="preserve">P-PSEA-15</w:t>
            </w:r>
          </w:p>
        </w:tc>
        <w:tc>
          <w:tcPr/>
          <w:p>
            <w:pPr>
              <w:pStyle w:val="Compact"/>
            </w:pPr>
            <w:r>
              <w:t xml:space="preserve">Trabajo no conforme, no conformidades y acciones correctivas derivadas.</w:t>
            </w:r>
          </w:p>
        </w:tc>
        <w:tc>
          <w:tcPr/>
          <w:p>
            <w:pPr>
              <w:pStyle w:val="Compact"/>
            </w:pPr>
            <w:r>
              <w:t xml:space="preserve">Condicional</w:t>
            </w:r>
          </w:p>
        </w:tc>
      </w:tr>
      <w:tr>
        <w:tc>
          <w:tcPr/>
          <w:p>
            <w:pPr>
              <w:pStyle w:val="Compact"/>
            </w:pPr>
            <w:r>
              <w:rPr>
                <w:rStyle w:val="VerbatimChar"/>
              </w:rPr>
              <w:t xml:space="preserve">P-PSEA-18</w:t>
            </w:r>
          </w:p>
        </w:tc>
        <w:tc>
          <w:tcPr/>
          <w:p>
            <w:pPr>
              <w:pStyle w:val="Compact"/>
            </w:pPr>
            <w:r>
              <w:t xml:space="preserve">Apelaciones del PEA, para diferenciar y trasladar casos.</w:t>
            </w:r>
          </w:p>
        </w:tc>
        <w:tc>
          <w:tcPr/>
          <w:p>
            <w:pPr>
              <w:pStyle w:val="Compact"/>
            </w:pPr>
            <w:r>
              <w:t xml:space="preserve">Referencia</w:t>
            </w:r>
          </w:p>
        </w:tc>
      </w:tr>
      <w:tr>
        <w:tc>
          <w:tcPr/>
          <w:p>
            <w:pPr>
              <w:pStyle w:val="Compact"/>
            </w:pPr>
            <w:r>
              <w:rPr>
                <w:rStyle w:val="VerbatimChar"/>
              </w:rPr>
              <w:t xml:space="preserve">P-PSEA-19</w:t>
            </w:r>
          </w:p>
        </w:tc>
        <w:tc>
          <w:tcPr/>
          <w:p>
            <w:pPr>
              <w:pStyle w:val="Compact"/>
            </w:pPr>
            <w:r>
              <w:t xml:space="preserve">Confidencialidad operativa interna del PEA.</w:t>
            </w:r>
          </w:p>
        </w:tc>
        <w:tc>
          <w:tcPr/>
          <w:p>
            <w:pPr>
              <w:pStyle w:val="Compact"/>
            </w:pPr>
            <w:r>
              <w:t xml:space="preserve">Obligatorio</w:t>
            </w:r>
          </w:p>
        </w:tc>
      </w:tr>
      <w:tr>
        <w:tc>
          <w:tcPr/>
          <w:p>
            <w:pPr>
              <w:pStyle w:val="Compact"/>
            </w:pPr>
            <w:r>
              <w:rPr>
                <w:rStyle w:val="VerbatimChar"/>
              </w:rPr>
              <w:t xml:space="preserve">P-PSEA-23</w:t>
            </w:r>
          </w:p>
        </w:tc>
        <w:tc>
          <w:tcPr/>
          <w:p>
            <w:pPr>
              <w:pStyle w:val="Compact"/>
            </w:pPr>
            <w:r>
              <w:t xml:space="preserve">Mejora continua del PEA.</w:t>
            </w:r>
          </w:p>
        </w:tc>
        <w:tc>
          <w:tcPr/>
          <w:p>
            <w:pPr>
              <w:pStyle w:val="Compact"/>
            </w:pPr>
            <w:r>
              <w:t xml:space="preserve">Referencia</w:t>
            </w:r>
          </w:p>
        </w:tc>
      </w:tr>
      <w:tr>
        <w:tc>
          <w:tcPr/>
          <w:p>
            <w:pPr>
              <w:pStyle w:val="Compact"/>
            </w:pPr>
            <w:r>
              <w:rPr>
                <w:rStyle w:val="VerbatimChar"/>
              </w:rPr>
              <w:t xml:space="preserve">DG-PSEA-02</w:t>
            </w:r>
          </w:p>
        </w:tc>
        <w:tc>
          <w:tcPr/>
          <w:p>
            <w:pPr>
              <w:pStyle w:val="Compact"/>
            </w:pPr>
            <w:r>
              <w:t xml:space="preserve">Aplicativo</w:t>
            </w:r>
            <w:r>
              <w:t xml:space="preserve"> </w:t>
            </w:r>
            <w:r>
              <w:rPr>
                <w:rStyle w:val="VerbatimChar"/>
              </w:rPr>
              <w:t xml:space="preserve">calaire-app</w:t>
            </w:r>
            <w:r>
              <w:t xml:space="preserve"> </w:t>
            </w:r>
            <w:r>
              <w:t xml:space="preserve">para la gestion de casos SGC.</w:t>
            </w:r>
          </w:p>
        </w:tc>
        <w:tc>
          <w:tcPr/>
          <w:p>
            <w:pPr>
              <w:pStyle w:val="Compact"/>
            </w:pPr>
            <w:r>
              <w:t xml:space="preserve">Obligatorio cuando el caso se gestione en el aplicativo.</w:t>
            </w:r>
          </w:p>
        </w:tc>
      </w:tr>
      <w:tr>
        <w:tc>
          <w:tcPr/>
          <w:p>
            <w:pPr>
              <w:pStyle w:val="Compact"/>
            </w:pPr>
            <w:r>
              <w:rPr>
                <w:rStyle w:val="VerbatimChar"/>
              </w:rPr>
              <w:t xml:space="preserve">F-PSEA-13</w:t>
            </w:r>
          </w:p>
        </w:tc>
        <w:tc>
          <w:tcPr/>
          <w:p>
            <w:pPr>
              <w:pStyle w:val="Compact"/>
            </w:pPr>
            <w:r>
              <w:t xml:space="preserve">Informe final de resultados, cuando la queja lo afecte.</w:t>
            </w:r>
          </w:p>
        </w:tc>
        <w:tc>
          <w:tcPr/>
          <w:p>
            <w:pPr>
              <w:pStyle w:val="Compact"/>
            </w:pPr>
            <w:r>
              <w:t xml:space="preserve">Referencia</w:t>
            </w:r>
          </w:p>
        </w:tc>
      </w:tr>
    </w:tbl>
    <w:bookmarkEnd w:id="22"/>
    <w:bookmarkStart w:id="23" w:name="trazabilidad-normativa"/>
    <w:p>
      <w:pPr>
        <w:pStyle w:val="Heading2"/>
      </w:pPr>
      <w:r>
        <w:t xml:space="preserve">7. Trazabilidad normativa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Norma</w:t>
            </w:r>
          </w:p>
        </w:tc>
        <w:tc>
          <w:tcPr/>
          <w:p>
            <w:pPr>
              <w:pStyle w:val="Compact"/>
            </w:pPr>
            <w:r>
              <w:t xml:space="preserve">Clausula</w:t>
            </w:r>
          </w:p>
        </w:tc>
        <w:tc>
          <w:tcPr/>
          <w:p>
            <w:pPr>
              <w:pStyle w:val="Compact"/>
            </w:pPr>
            <w:r>
              <w:t xml:space="preserve">Aplicacion</w:t>
            </w:r>
          </w:p>
        </w:tc>
      </w:tr>
      <w:tr>
        <w:tc>
          <w:tcPr/>
          <w:p>
            <w:pPr>
              <w:pStyle w:val="Compact"/>
            </w:pPr>
            <w:r>
              <w:t xml:space="preserve">ISO/IEC 17043:2023</w:t>
            </w:r>
          </w:p>
        </w:tc>
        <w:tc>
          <w:tcPr/>
          <w:p>
            <w:pPr>
              <w:pStyle w:val="Compact"/>
            </w:pPr>
            <w:r>
              <w:t xml:space="preserve">7.9</w:t>
            </w:r>
          </w:p>
        </w:tc>
        <w:tc>
          <w:tcPr/>
          <w:p>
            <w:pPr>
              <w:pStyle w:val="Compact"/>
            </w:pPr>
            <w:r>
              <w:t xml:space="preserve">Proceso para recibir, evaluar y decidir sobre quejas.</w:t>
            </w:r>
          </w:p>
        </w:tc>
      </w:tr>
      <w:tr>
        <w:tc>
          <w:tcPr/>
          <w:p>
            <w:pPr>
              <w:pStyle w:val="Compact"/>
            </w:pPr>
            <w:r>
              <w:t xml:space="preserve">ISO/IEC 17043:2023</w:t>
            </w:r>
          </w:p>
        </w:tc>
        <w:tc>
          <w:tcPr/>
          <w:p>
            <w:pPr>
              <w:pStyle w:val="Compact"/>
            </w:pPr>
            <w:r>
              <w:t xml:space="preserve">8.10</w:t>
            </w:r>
          </w:p>
        </w:tc>
        <w:tc>
          <w:tcPr/>
          <w:p>
            <w:pPr>
              <w:pStyle w:val="Compact"/>
            </w:pPr>
            <w:r>
              <w:t xml:space="preserve">Registro y tratamiento de quejas dentro del sistema de gestion.</w:t>
            </w:r>
          </w:p>
        </w:tc>
      </w:tr>
    </w:tbl>
    <w:bookmarkEnd w:id="23"/>
    <w:bookmarkStart w:id="24" w:name="limites"/>
    <w:p>
      <w:pPr>
        <w:pStyle w:val="Heading2"/>
      </w:pPr>
      <w:r>
        <w:t xml:space="preserve">8. Limites</w:t>
      </w:r>
    </w:p>
    <w:p>
      <w:pPr>
        <w:pStyle w:val="Compact"/>
        <w:numPr>
          <w:ilvl w:val="0"/>
          <w:numId w:val="1008"/>
        </w:numPr>
      </w:pPr>
      <w:r>
        <w:t xml:space="preserve">Este procedimiento no resuelve apelaciones; estas se gestionan mediante</w:t>
      </w:r>
      <w:r>
        <w:t xml:space="preserve"> </w:t>
      </w:r>
      <w:r>
        <w:rPr>
          <w:rStyle w:val="VerbatimChar"/>
        </w:rPr>
        <w:t xml:space="preserve">P-PSEA-18</w:t>
      </w:r>
      <w:r>
        <w:t xml:space="preserve">.</w:t>
      </w:r>
    </w:p>
    <w:p>
      <w:pPr>
        <w:pStyle w:val="Compact"/>
        <w:numPr>
          <w:ilvl w:val="0"/>
          <w:numId w:val="1008"/>
        </w:numPr>
      </w:pPr>
      <w:r>
        <w:t xml:space="preserve">La recepcion de una queja no implica que sea procedente.</w:t>
      </w:r>
    </w:p>
    <w:p>
      <w:pPr>
        <w:pStyle w:val="Compact"/>
        <w:numPr>
          <w:ilvl w:val="0"/>
          <w:numId w:val="1008"/>
        </w:numPr>
      </w:pPr>
      <w:r>
        <w:t xml:space="preserve">La respuesta no debe divulgar datos, resultados ni informacion sensible de otros participantes.</w:t>
      </w:r>
    </w:p>
    <w:p>
      <w:pPr>
        <w:pStyle w:val="Compact"/>
        <w:numPr>
          <w:ilvl w:val="0"/>
          <w:numId w:val="1008"/>
        </w:numPr>
      </w:pPr>
      <w:r>
        <w:t xml:space="preserve">El cierre de la queja no reemplaza el cierre de las NC o acciones correctivas derivadas.</w:t>
      </w:r>
    </w:p>
    <w:bookmarkEnd w:id="24"/>
    <w:bookmarkEnd w:id="25"/>
    <w:sectPr>
      <w:headerReference r:id="rId2" w:type="default"/>
      <w:type w:val="nextPage"/>
      <w:pgSz w:h="12240" w:orient="landscape" w:w="15840"/>
      <w:pgMar w:bottom="720" w:footer="0" w:gutter="0" w:header="709" w:left="720" w:right="720" w:top="765"/>
      <w:pgNumType w:fmt="decimal"/>
      <w:formProt w:val="false"/>
      <w:textDirection w:val="lrTb"/>
      <w:docGrid w:charSpace="0"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Display">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Georgia">
    <w:charset w:val="00" w:characterSet="windows-1252"/>
    <w:family w:val="roman"/>
    <w:pitch w:val="variable"/>
  </w:font>
  <w:font w:name="Liberation Sans">
    <w:altName w:val="Arial"/>
    <w:charset w:val="01" w:characterSet="utf-8"/>
    <w:family w:val="swiss"/>
    <w:pitch w:val="variable"/>
  </w:font>
  <w:font w:name="Tahoma">
    <w:charset w:val="00" w:characterSet="windows-1252"/>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630" w:type="dxa"/>
      <w:jc w:val="center"/>
      <w:tblInd w:w="0" w:type="dxa"/>
      <w:tblLayout w:type="fixed"/>
      <w:tblCellMar>
        <w:top w:w="0" w:type="dxa"/>
        <w:start w:w="108" w:type="dxa"/>
        <w:bottom w:w="0" w:type="dxa"/>
        <w:end w:w="108" w:type="dxa"/>
      </w:tblCellMar>
    </w:tblPr>
    <w:tblGrid>
      <w:gridCol w:w="2524"/>
      <w:gridCol w:w="9072"/>
      <w:gridCol w:w="3034"/>
    </w:tblGrid>
    <w:tr>
      <w:trPr/>
      <w:tc>
        <w:tcPr>
          <w:tcW w:w="2524" w:type="dxa"/>
          <w:vMerge w:val="restart"/>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sz w:val="20"/>
              <w:szCs w:val="20"/>
            </w:rPr>
          </w:pPr>
          <w:r>
            <w:rPr>
              <w:lang w:val="en-US" w:eastAsia="en-US"/>
            </w:rPr>
            <w:drawing>
              <wp:inline distT="0" distB="0" distL="0" distR="0">
                <wp:extent cx="1346200" cy="6216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rcRect l="-11" t="-24" r="-11" b="-24"/>
                        <a:stretch>
                          <a:fillRect/>
                        </a:stretch>
                      </pic:blipFill>
                      <pic:spPr bwMode="auto">
                        <a:xfrm>
                          <a:off x="0" y="0"/>
                          <a:ext cx="1346200" cy="621665"/>
                        </a:xfrm>
                        <a:prstGeom prst="rect">
                          <a:avLst/>
                        </a:prstGeom>
                        <a:noFill/>
                      </pic:spPr>
                    </pic:pic>
                  </a:graphicData>
                </a:graphic>
              </wp:inline>
            </w:drawing>
          </w:r>
        </w:p>
      </w:tc>
      <w:tc>
        <w:tcPr>
          <w:tcW w:w="9072" w:type="dxa"/>
          <w:vMerge w:val="restart"/>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sz w:val="20"/>
              <w:szCs w:val="20"/>
            </w:rPr>
          </w:pPr>
          <w:r>
            <w:rPr>
              <w:rFonts w:cs="Arial" w:ascii="Arial" w:hAnsi="Arial"/>
              <w:b/>
              <w:sz w:val="20"/>
              <w:szCs w:val="20"/>
            </w:rPr>
            <w:t>LABORATORIO DE CALIDAD DEL AIRE</w:t>
          </w:r>
        </w:p>
      </w:tc>
      <w:tc>
        <w:tcPr>
          <w:tcW w:w="3034" w:type="dxa"/>
          <w:tcBorders>
            <w:top w:val="single" w:sz="4" w:space="0" w:color="000000"/>
            <w:start w:val="single" w:sz="4" w:space="0" w:color="000000"/>
            <w:bottom w:val="single" w:sz="4" w:space="0" w:color="000000"/>
            <w:end w:val="single" w:sz="4" w:space="0" w:color="000000"/>
          </w:tcBorders>
          <w:vAlign w:val="bottom"/>
        </w:tcPr>
        <w:p>
          <w:pPr>
            <w:pStyle w:val="Header"/>
            <w:rPr>
              <w:rFonts w:ascii="Arial" w:hAnsi="Arial" w:cs="Arial"/>
              <w:b/>
              <w:sz w:val="20"/>
              <w:szCs w:val="20"/>
            </w:rPr>
          </w:pPr>
          <w:r>
            <w:rPr>
              <w:rFonts w:cs="Arial" w:ascii="Arial" w:hAnsi="Arial"/>
              <w:b/>
              <w:sz w:val="20"/>
              <w:szCs w:val="20"/>
            </w:rPr>
            <w:t>Código: P-PSEA-17</w:t>
          </w:r>
        </w:p>
      </w:tc>
    </w:tr>
    <w:tr>
      <w:trPr/>
      <w:tc>
        <w:tcPr>
          <w:tcW w:w="2524" w:type="dxa"/>
          <w:vMerge w:val="continue"/>
          <w:tcBorders>
            <w:top w:val="single" w:sz="4" w:space="0" w:color="000000"/>
            <w:start w:val="single" w:sz="4" w:space="0" w:color="000000"/>
            <w:bottom w:val="single" w:sz="4" w:space="0" w:color="000000"/>
            <w:end w:val="single" w:sz="4" w:space="0" w:color="000000"/>
          </w:tcBorders>
          <w:vAlign w:val="center"/>
        </w:tcPr>
        <w:p>
          <w:pPr>
            <w:pStyle w:val="Header"/>
            <w:snapToGrid w:val="false"/>
            <w:rPr>
              <w:rFonts w:ascii="Arial" w:hAnsi="Arial" w:cs="Arial"/>
              <w:b/>
              <w:sz w:val="20"/>
              <w:szCs w:val="20"/>
            </w:rPr>
          </w:pPr>
          <w:r>
            <w:rPr>
              <w:rFonts w:cs="Arial" w:ascii="Arial" w:hAnsi="Arial"/>
              <w:b/>
              <w:sz w:val="20"/>
              <w:szCs w:val="20"/>
            </w:rPr>
          </w:r>
        </w:p>
      </w:tc>
      <w:tc>
        <w:tcPr>
          <w:tcW w:w="9072" w:type="dxa"/>
          <w:vMerge w:val="continue"/>
          <w:tcBorders>
            <w:top w:val="single" w:sz="4" w:space="0" w:color="000000"/>
            <w:start w:val="single" w:sz="4" w:space="0" w:color="000000"/>
            <w:bottom w:val="single" w:sz="4" w:space="0" w:color="000000"/>
            <w:end w:val="single" w:sz="4" w:space="0" w:color="000000"/>
          </w:tcBorders>
          <w:vAlign w:val="center"/>
        </w:tcPr>
        <w:p>
          <w:pPr>
            <w:pStyle w:val="Header"/>
            <w:snapToGrid w:val="false"/>
            <w:rPr>
              <w:rFonts w:ascii="Arial" w:hAnsi="Arial" w:cs="Arial"/>
              <w:sz w:val="20"/>
              <w:szCs w:val="20"/>
            </w:rPr>
          </w:pPr>
          <w:r>
            <w:rPr>
              <w:rFonts w:cs="Arial" w:ascii="Arial" w:hAnsi="Arial"/>
              <w:sz w:val="20"/>
              <w:szCs w:val="20"/>
            </w:rPr>
          </w:r>
        </w:p>
      </w:tc>
      <w:tc>
        <w:tcPr>
          <w:tcW w:w="3034" w:type="dxa"/>
          <w:tcBorders>
            <w:top w:val="single" w:sz="4" w:space="0" w:color="000000"/>
            <w:start w:val="single" w:sz="4" w:space="0" w:color="000000"/>
            <w:bottom w:val="single" w:sz="4" w:space="0" w:color="000000"/>
            <w:end w:val="single" w:sz="4" w:space="0" w:color="000000"/>
          </w:tcBorders>
          <w:vAlign w:val="bottom"/>
        </w:tcPr>
        <w:p>
          <w:pPr>
            <w:pStyle w:val="Header"/>
            <w:rPr>
              <w:rFonts w:ascii="Arial" w:hAnsi="Arial" w:cs="Arial"/>
              <w:b/>
              <w:sz w:val="20"/>
              <w:szCs w:val="16"/>
            </w:rPr>
          </w:pPr>
          <w:r>
            <w:rPr>
              <w:rFonts w:cs="Arial" w:ascii="Arial" w:hAnsi="Arial"/>
              <w:b/>
              <w:sz w:val="20"/>
              <w:szCs w:val="16"/>
            </w:rPr>
            <w:t>Versión: 01</w:t>
          </w:r>
        </w:p>
      </w:tc>
    </w:tr>
    <w:tr>
      <w:trPr/>
      <w:tc>
        <w:tcPr>
          <w:tcW w:w="2524" w:type="dxa"/>
          <w:vMerge w:val="continue"/>
          <w:tcBorders>
            <w:top w:val="single" w:sz="4" w:space="0" w:color="000000"/>
            <w:start w:val="single" w:sz="4" w:space="0" w:color="000000"/>
            <w:bottom w:val="single" w:sz="4" w:space="0" w:color="000000"/>
            <w:end w:val="single" w:sz="4" w:space="0" w:color="000000"/>
          </w:tcBorders>
          <w:vAlign w:val="center"/>
        </w:tcPr>
        <w:p>
          <w:pPr>
            <w:pStyle w:val="Header"/>
            <w:snapToGrid w:val="false"/>
            <w:rPr>
              <w:rFonts w:ascii="Arial" w:hAnsi="Arial" w:cs="Arial"/>
              <w:b/>
              <w:sz w:val="20"/>
              <w:szCs w:val="20"/>
            </w:rPr>
          </w:pPr>
          <w:r>
            <w:rPr>
              <w:rFonts w:cs="Arial" w:ascii="Arial" w:hAnsi="Arial"/>
              <w:b/>
              <w:sz w:val="20"/>
              <w:szCs w:val="20"/>
            </w:rPr>
          </w:r>
        </w:p>
      </w:tc>
      <w:tc>
        <w:tcPr>
          <w:tcW w:w="9072" w:type="dxa"/>
          <w:tcBorders>
            <w:top w:val="single" w:sz="4" w:space="0" w:color="000000"/>
            <w:start w:val="single" w:sz="4" w:space="0" w:color="000000"/>
            <w:bottom w:val="single" w:sz="4" w:space="0" w:color="000000"/>
            <w:end w:val="single" w:sz="4" w:space="0" w:color="000000"/>
          </w:tcBorders>
          <w:vAlign w:val="center"/>
        </w:tcPr>
        <w:p>
          <w:pPr>
            <w:pStyle w:val="Header"/>
            <w:spacing w:before="120" w:after="120"/>
            <w:jc w:val="center"/>
            <w:rPr>
              <w:rFonts w:ascii="Arial" w:hAnsi="Arial" w:cs="Arial"/>
              <w:sz w:val="20"/>
              <w:szCs w:val="20"/>
            </w:rPr>
          </w:pPr>
          <w:r>
            <w:rPr>
              <w:rFonts w:cs="Arial" w:ascii="Arial" w:hAnsi="Arial"/>
              <w:b/>
              <w:sz w:val="20"/>
              <w:szCs w:val="20"/>
            </w:rPr>
            <w:t>QUEJAS DEL PEA</w:t>
          </w:r>
        </w:p>
      </w:tc>
      <w:tc>
        <w:tcPr>
          <w:tcW w:w="3034" w:type="dxa"/>
          <w:tcBorders>
            <w:top w:val="single" w:sz="4" w:space="0" w:color="000000"/>
            <w:start w:val="single" w:sz="4" w:space="0" w:color="000000"/>
            <w:bottom w:val="single" w:sz="4" w:space="0" w:color="000000"/>
            <w:end w:val="single" w:sz="4" w:space="0" w:color="000000"/>
          </w:tcBorders>
          <w:vAlign w:val="center"/>
        </w:tcPr>
        <w:p>
          <w:pPr>
            <w:pStyle w:val="Header"/>
            <w:rPr>
              <w:rFonts w:ascii="Arial" w:hAnsi="Arial" w:cs="Arial"/>
              <w:b/>
              <w:sz w:val="20"/>
              <w:szCs w:val="20"/>
            </w:rPr>
          </w:pPr>
          <w:r>
            <w:rPr>
              <w:rFonts w:cs="Arial" w:ascii="Arial" w:hAnsi="Arial"/>
              <w:b/>
              <w:sz w:val="20"/>
              <w:szCs w:val="16"/>
            </w:rPr>
            <w:t xml:space="preserve">Página </w:t>
          </w:r>
          <w:r>
            <w:rPr>
              <w:rFonts w:cs="Arial" w:ascii="Arial" w:hAnsi="Arial"/>
              <w:b/>
              <w:sz w:val="20"/>
              <w:szCs w:val="16"/>
            </w:rPr>
            <w:fldChar w:fldCharType="begin"/>
          </w:r>
          <w:r>
            <w:rPr>
              <w:rFonts w:cs="Arial" w:ascii="Arial" w:hAnsi="Arial"/>
              <w:b/>
              <w:sz w:val="20"/>
              <w:szCs w:val="16"/>
            </w:rPr>
            <w:instrText xml:space="preserve"> PAGE </w:instrText>
          </w:r>
          <w:r>
            <w:rPr>
              <w:rFonts w:cs="Arial" w:ascii="Arial" w:hAnsi="Arial"/>
              <w:b/>
              <w:sz w:val="20"/>
              <w:szCs w:val="16"/>
            </w:rPr>
            <w:fldChar w:fldCharType="separate"/>
          </w:r>
          <w:r>
            <w:rPr>
              <w:rFonts w:cs="Arial" w:ascii="Arial" w:hAnsi="Arial"/>
              <w:b/>
              <w:sz w:val="20"/>
              <w:szCs w:val="16"/>
            </w:rPr>
            <w:t>1</w:t>
          </w:r>
          <w:r>
            <w:rPr>
              <w:rFonts w:cs="Arial" w:ascii="Arial" w:hAnsi="Arial"/>
              <w:b/>
              <w:sz w:val="20"/>
              <w:szCs w:val="16"/>
            </w:rPr>
            <w:fldChar w:fldCharType="end"/>
          </w:r>
          <w:r>
            <w:rPr>
              <w:rFonts w:cs="Arial" w:ascii="Arial" w:hAnsi="Arial"/>
              <w:b/>
              <w:sz w:val="20"/>
              <w:szCs w:val="16"/>
            </w:rPr>
            <w:t xml:space="preserve"> de </w:t>
          </w:r>
          <w:r>
            <w:rPr>
              <w:rFonts w:cs="Arial" w:ascii="Arial" w:hAnsi="Arial"/>
              <w:b/>
              <w:sz w:val="20"/>
              <w:szCs w:val="16"/>
            </w:rPr>
            <w:fldChar w:fldCharType="begin"/>
          </w:r>
          <w:r>
            <w:rPr>
              <w:rFonts w:cs="Arial" w:ascii="Arial" w:hAnsi="Arial"/>
              <w:b/>
              <w:sz w:val="20"/>
              <w:szCs w:val="16"/>
            </w:rPr>
            <w:instrText xml:space="preserve"> NUMPAGES \* ARABIC </w:instrText>
          </w:r>
          <w:r>
            <w:rPr>
              <w:rFonts w:cs="Arial" w:ascii="Arial" w:hAnsi="Arial"/>
              <w:b/>
              <w:sz w:val="20"/>
              <w:szCs w:val="16"/>
            </w:rPr>
            <w:fldChar w:fldCharType="separate"/>
          </w:r>
          <w:r>
            <w:rPr>
              <w:rFonts w:cs="Arial" w:ascii="Arial" w:hAnsi="Arial"/>
              <w:b/>
              <w:sz w:val="20"/>
              <w:szCs w:val="16"/>
            </w:rPr>
            <w:t>1</w:t>
          </w:r>
          <w:r>
            <w:rPr>
              <w:rFonts w:cs="Arial" w:ascii="Arial" w:hAnsi="Arial"/>
              <w:b/>
              <w:sz w:val="20"/>
              <w:szCs w:val="16"/>
            </w:rPr>
            <w:fldChar w:fldCharType="end"/>
          </w:r>
        </w:p>
      </w:tc>
    </w:tr>
  </w:tbl>
  <w:p>
    <w:pPr>
      <w:pStyle w:val="Header"/>
      <w:rPr/>
    </w:pPr>
    <w:r>
      <w:rPr/>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none"/>
      <w:pStyle w:val="Heading1"/>
      <w:suff w:val="nothing"/>
      <w:lvlText w:val=""/>
      <w:lvlJc w:val="start"/>
      <w:pPr>
        <w:tabs>
          <w:tab w:pos="0" w:val="num"/>
        </w:tabs>
        <w:ind w:hanging="0" w:start="0"/>
      </w:pPr>
    </w:lvl>
    <w:lvl w:ilvl="1">
      <w:start w:val="1"/>
      <w:numFmt w:val="none"/>
      <w:pStyle w:val="Heading2"/>
      <w:suff w:val="nothing"/>
      <w:lvlText w:val=""/>
      <w:lvlJc w:val="start"/>
      <w:pPr>
        <w:tabs>
          <w:tab w:pos="0" w:val="num"/>
        </w:tabs>
        <w:ind w:hanging="0" w:start="0"/>
      </w:pPr>
    </w:lvl>
    <w:lvl w:ilvl="2">
      <w:start w:val="1"/>
      <w:numFmt w:val="none"/>
      <w:pStyle w:val="Heading3"/>
      <w:suff w:val="nothing"/>
      <w:lvlText w:val=""/>
      <w:lvlJc w:val="start"/>
      <w:pPr>
        <w:tabs>
          <w:tab w:pos="0" w:val="num"/>
        </w:tabs>
        <w:ind w:hanging="0" w:start="0"/>
      </w:pPr>
    </w:lvl>
    <w:lvl w:ilvl="3">
      <w:start w:val="1"/>
      <w:numFmt w:val="none"/>
      <w:suff w:val="nothing"/>
      <w:lvlText w:val=""/>
      <w:lvlJc w:val="start"/>
      <w:pPr>
        <w:tabs>
          <w:tab w:pos="0" w:val="num"/>
        </w:tabs>
        <w:ind w:hanging="0" w:start="0"/>
      </w:pPr>
    </w:lvl>
    <w:lvl w:ilvl="4">
      <w:start w:val="1"/>
      <w:numFmt w:val="none"/>
      <w:suff w:val="nothing"/>
      <w:lvlText w:val=""/>
      <w:lvlJc w:val="start"/>
      <w:pPr>
        <w:tabs>
          <w:tab w:pos="0" w:val="num"/>
        </w:tabs>
        <w:ind w:hanging="0" w:start="0"/>
      </w:pPr>
    </w:lvl>
    <w:lvl w:ilvl="5">
      <w:start w:val="1"/>
      <w:numFmt w:val="none"/>
      <w:suff w:val="nothing"/>
      <w:lvlText w:val=""/>
      <w:lvlJc w:val="start"/>
      <w:pPr>
        <w:tabs>
          <w:tab w:pos="0" w:val="num"/>
        </w:tabs>
        <w:ind w:hanging="0" w:start="0"/>
      </w:pPr>
    </w:lvl>
    <w:lvl w:ilvl="6">
      <w:start w:val="1"/>
      <w:numFmt w:val="none"/>
      <w:suff w:val="nothing"/>
      <w:lvlText w:val=""/>
      <w:lvlJc w:val="start"/>
      <w:pPr>
        <w:tabs>
          <w:tab w:pos="0" w:val="num"/>
        </w:tabs>
        <w:ind w:hanging="0" w:start="0"/>
      </w:pPr>
    </w:lvl>
    <w:lvl w:ilvl="7">
      <w:start w:val="1"/>
      <w:numFmt w:val="none"/>
      <w:suff w:val="nothing"/>
      <w:lvlText w:val=""/>
      <w:lvlJc w:val="start"/>
      <w:pPr>
        <w:tabs>
          <w:tab w:pos="0" w:val="num"/>
        </w:tabs>
        <w:ind w:hanging="0" w:start="0"/>
      </w:pPr>
    </w:lvl>
    <w:lvl w:ilvl="8">
      <w:start w:val="1"/>
      <w:numFmt w:val="none"/>
      <w:suff w:val="nothing"/>
      <w:lvlText w:val=""/>
      <w:lvlJc w:val="start"/>
      <w:pPr>
        <w:tabs>
          <w:tab w:pos="0" w:val="num"/>
        </w:tabs>
        <w:ind w:hanging="0" w:start="0"/>
      </w:pPr>
    </w:lvl>
  </w:abstractNum>
  <w:abstractNum w:abstractNumId="2">
    <w:lvl w:ilvl="0">
      <w:start w:val="1"/>
      <w:numFmt w:val="decimal"/>
      <w:lvlText w:val="%1."/>
      <w:lvlJc w:val="start"/>
      <w:pPr>
        <w:tabs>
          <w:tab w:pos="0" w:val="num"/>
        </w:tabs>
        <w:ind w:hanging="360" w:start="360"/>
      </w:pPr>
      <w:rPr>
        <w:b/>
        <w:i w:val="false"/>
      </w:rPr>
    </w:lvl>
    <w:lvl w:ilvl="1">
      <w:start w:val="1"/>
      <w:numFmt w:val="decimal"/>
      <w:lvlText w:val="%1.%2."/>
      <w:lvlJc w:val="start"/>
      <w:pPr>
        <w:tabs>
          <w:tab w:pos="0" w:val="num"/>
        </w:tabs>
        <w:ind w:hanging="432" w:start="792"/>
      </w:pPr>
      <w:rPr>
        <w:b/>
      </w:rPr>
    </w:lvl>
    <w:lvl w:ilvl="2">
      <w:start w:val="1"/>
      <w:numFmt w:val="decimal"/>
      <w:lvlText w:val="%1.%2.%3."/>
      <w:lvlJc w:val="start"/>
      <w:pPr>
        <w:tabs>
          <w:tab w:pos="0" w:val="num"/>
        </w:tabs>
        <w:ind w:hanging="504" w:start="1224"/>
      </w:pPr>
      <w:rPr>
        <w:b/>
      </w:rPr>
    </w:lvl>
    <w:lvl w:ilvl="3">
      <w:start w:val="1"/>
      <w:numFmt w:val="decimal"/>
      <w:lvlText w:val="%1.%2.%3.%4."/>
      <w:lvlJc w:val="start"/>
      <w:pPr>
        <w:tabs>
          <w:tab w:pos="0" w:val="num"/>
        </w:tabs>
        <w:ind w:hanging="648" w:start="1728"/>
      </w:pPr>
    </w:lvl>
    <w:lvl w:ilvl="4">
      <w:start w:val="1"/>
      <w:numFmt w:val="decimal"/>
      <w:lvlText w:val="%1.%2.%3.%4.%5."/>
      <w:lvlJc w:val="start"/>
      <w:pPr>
        <w:tabs>
          <w:tab w:pos="0" w:val="num"/>
        </w:tabs>
        <w:ind w:hanging="792" w:start="2232"/>
      </w:pPr>
    </w:lvl>
    <w:lvl w:ilvl="5">
      <w:start w:val="1"/>
      <w:numFmt w:val="decimal"/>
      <w:lvlText w:val="%1.%2.%3.%4.%5.%6."/>
      <w:lvlJc w:val="start"/>
      <w:pPr>
        <w:tabs>
          <w:tab w:pos="0" w:val="num"/>
        </w:tabs>
        <w:ind w:hanging="936" w:start="2736"/>
      </w:pPr>
    </w:lvl>
    <w:lvl w:ilvl="6">
      <w:start w:val="1"/>
      <w:numFmt w:val="decimal"/>
      <w:lvlText w:val="%1.%2.%3.%4.%5.%6.%7."/>
      <w:lvlJc w:val="start"/>
      <w:pPr>
        <w:tabs>
          <w:tab w:pos="0" w:val="num"/>
        </w:tabs>
        <w:ind w:hanging="1080" w:start="3240"/>
      </w:pPr>
    </w:lvl>
    <w:lvl w:ilvl="7">
      <w:start w:val="1"/>
      <w:numFmt w:val="decimal"/>
      <w:lvlText w:val="%1.%2.%3.%4.%5.%6.%7.%8."/>
      <w:lvlJc w:val="start"/>
      <w:pPr>
        <w:tabs>
          <w:tab w:pos="0" w:val="num"/>
        </w:tabs>
        <w:ind w:hanging="1224" w:start="3744"/>
      </w:pPr>
    </w:lvl>
    <w:lvl w:ilvl="8">
      <w:start w:val="1"/>
      <w:numFmt w:val="decimal"/>
      <w:lvlText w:val="%1.%2.%3.%4.%5.%6.%7.%8.%9."/>
      <w:lvlJc w:val="start"/>
      <w:pPr>
        <w:tabs>
          <w:tab w:pos="0" w:val="num"/>
        </w:tabs>
        <w:ind w:hanging="1440" w:star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autoHyphenation w:val="true"/>
  <w:hyphenationZone w:val="0"/>
  <w:drawingGridHorizontalSpacing w:val="360"/>
  <w:drawingGridVerticalSpacing w:val="360"/>
  <w:displayHorizontalDrawingGridEvery w:val="0"/>
  <w:displayVerticalDrawingGridEvery w:val="0"/>
  <w:characterSpacingControl w:val="doNotCompress"/>
  <w:savePreviewPicture/>
  <w:compat>
    <w:doNotBreakWrappedTables/>
    <w:compatSetting w:name="compatibilityMode" w:uri="http://schemas.microsoft.com/office/word" w:val="1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Liberation Sans" w:eastAsia="Noto Serif CJK SC" w:hAnsi="Liberation Serif"/>
        <w:sz w:val="24"/>
        <w:szCs w:val="24"/>
        <w:lang w:bidi="hi-IN" w:eastAsia="zh-CN" w:val="en-US"/>
      </w:rPr>
    </w:rPrDefault>
    <w:pPrDefault>
      <w:pPr>
        <w:suppressAutoHyphens w:val="true"/>
      </w:pPr>
    </w:pPrDefault>
  </w:docDefaults>
  <w:style w:styleId="Normal" w:type="paragraph">
    <w:name w:val="Normal"/>
    <w:qFormat/>
    <w:pPr>
      <w:widowControl/>
      <w:bidi w:val="0"/>
    </w:pPr>
    <w:rPr>
      <w:rFonts w:ascii="Times New Roman" w:cs="Times New Roman" w:eastAsia="Times New Roman" w:hAnsi="Times New Roman"/>
      <w:color w:val="auto"/>
      <w:sz w:val="24"/>
      <w:szCs w:val="24"/>
      <w:lang w:bidi="ar-SA" w:eastAsia="zh-CN" w:val="es-ES"/>
    </w:rPr>
  </w:style>
  <w:style w:styleId="Heading1" w:type="paragraph">
    <w:name w:val="heading 1"/>
    <w:basedOn w:val="Normal"/>
    <w:next w:val="Normal"/>
    <w:qFormat/>
    <w:pPr>
      <w:keepNext w:val="true"/>
      <w:numPr>
        <w:ilvl w:val="0"/>
        <w:numId w:val="1"/>
      </w:numPr>
      <w:spacing w:after="60" w:before="240"/>
      <w:outlineLvl w:val="0"/>
    </w:pPr>
    <w:rPr>
      <w:rFonts w:ascii="Arial" w:cs="Arial" w:hAnsi="Arial"/>
      <w:b/>
      <w:bCs/>
      <w:kern w:val="2"/>
      <w:sz w:val="32"/>
      <w:szCs w:val="32"/>
    </w:rPr>
  </w:style>
  <w:style w:styleId="Heading2" w:type="paragraph">
    <w:name w:val="heading 2"/>
    <w:basedOn w:val="Normal"/>
    <w:next w:val="Normal"/>
    <w:qFormat/>
    <w:pPr>
      <w:keepNext w:val="true"/>
      <w:numPr>
        <w:ilvl w:val="1"/>
        <w:numId w:val="1"/>
      </w:numPr>
      <w:spacing w:after="60" w:before="240"/>
      <w:outlineLvl w:val="1"/>
    </w:pPr>
    <w:rPr>
      <w:rFonts w:ascii="Aptos Display" w:cs="Times New Roman" w:eastAsia="Times New Roman" w:hAnsi="Aptos Display"/>
      <w:b/>
      <w:bCs/>
      <w:i/>
      <w:iCs/>
      <w:sz w:val="28"/>
      <w:szCs w:val="28"/>
    </w:rPr>
  </w:style>
  <w:style w:styleId="Heading3" w:type="paragraph">
    <w:name w:val="heading 3"/>
    <w:basedOn w:val="Normal"/>
    <w:next w:val="Normal"/>
    <w:qFormat/>
    <w:pPr>
      <w:keepNext w:val="true"/>
      <w:numPr>
        <w:ilvl w:val="2"/>
        <w:numId w:val="1"/>
      </w:numPr>
      <w:spacing w:after="60" w:before="240"/>
      <w:outlineLvl w:val="2"/>
    </w:pPr>
    <w:rPr>
      <w:rFonts w:ascii="Calibri Light" w:cs="Times New Roman" w:eastAsia="Times New Roman" w:hAnsi="Calibri Light"/>
      <w:b/>
      <w:bCs/>
      <w:sz w:val="26"/>
      <w:szCs w:val="26"/>
    </w:rPr>
  </w:style>
  <w:style w:styleId="WW8Num1z0" w:type="character">
    <w:name w:val="WW8Num1z0"/>
    <w:qFormat/>
    <w:rPr>
      <w:rFonts w:ascii="Symbol" w:cs="Symbol" w:hAnsi="Symbol"/>
    </w:rPr>
  </w:style>
  <w:style w:styleId="WW8Num1z2" w:type="character">
    <w:name w:val="WW8Num1z2"/>
    <w:qFormat/>
    <w:rPr>
      <w:rFonts w:ascii="Courier New" w:cs="Courier New" w:hAnsi="Courier New"/>
    </w:rPr>
  </w:style>
  <w:style w:styleId="WW8Num1z3" w:type="character">
    <w:name w:val="WW8Num1z3"/>
    <w:qFormat/>
    <w:rPr>
      <w:rFonts w:ascii="Wingdings" w:cs="Wingdings" w:hAnsi="Wingdings"/>
    </w:rPr>
  </w:style>
  <w:style w:styleId="WW8Num2z0" w:type="character">
    <w:name w:val="WW8Num2z0"/>
    <w:qFormat/>
    <w:rPr>
      <w:rFonts w:ascii="Symbol" w:cs="Symbol" w:hAnsi="Symbol"/>
    </w:rPr>
  </w:style>
  <w:style w:styleId="WW8Num2z1" w:type="character">
    <w:name w:val="WW8Num2z1"/>
    <w:qFormat/>
    <w:rPr>
      <w:rFonts w:ascii="Courier New" w:cs="Courier New" w:hAnsi="Courier New"/>
    </w:rPr>
  </w:style>
  <w:style w:styleId="WW8Num2z2" w:type="character">
    <w:name w:val="WW8Num2z2"/>
    <w:qFormat/>
    <w:rPr>
      <w:rFonts w:ascii="Wingdings" w:cs="Wingdings" w:hAnsi="Wingdings"/>
    </w:rPr>
  </w:style>
  <w:style w:styleId="WW8Num3z0" w:type="character">
    <w:name w:val="WW8Num3z0"/>
    <w:qFormat/>
    <w:rPr>
      <w:rFonts w:ascii="Symbol" w:cs="Symbol" w:hAnsi="Symbol"/>
    </w:rPr>
  </w:style>
  <w:style w:styleId="WW8Num3z1" w:type="character">
    <w:name w:val="WW8Num3z1"/>
    <w:qFormat/>
    <w:rPr>
      <w:rFonts w:ascii="Courier New" w:cs="Courier New" w:hAnsi="Courier New"/>
    </w:rPr>
  </w:style>
  <w:style w:styleId="WW8Num3z2" w:type="character">
    <w:name w:val="WW8Num3z2"/>
    <w:qFormat/>
    <w:rPr>
      <w:rFonts w:ascii="Wingdings" w:cs="Wingdings" w:hAnsi="Wingdings"/>
    </w:rPr>
  </w:style>
  <w:style w:styleId="WW8Num4z0" w:type="character">
    <w:name w:val="WW8Num4z0"/>
    <w:qFormat/>
    <w:rPr>
      <w:b/>
    </w:rPr>
  </w:style>
  <w:style w:styleId="WW8Num6z1" w:type="character">
    <w:name w:val="WW8Num6z1"/>
    <w:qFormat/>
    <w:rPr>
      <w:b w:val="false"/>
    </w:rPr>
  </w:style>
  <w:style w:styleId="WW8Num7z0" w:type="character">
    <w:name w:val="WW8Num7z0"/>
    <w:qFormat/>
    <w:rPr>
      <w:b/>
    </w:rPr>
  </w:style>
  <w:style w:styleId="WW8Num8z0" w:type="character">
    <w:name w:val="WW8Num8z0"/>
    <w:qFormat/>
    <w:rPr>
      <w:rFonts w:ascii="Symbol" w:cs="Symbol" w:hAnsi="Symbol"/>
    </w:rPr>
  </w:style>
  <w:style w:styleId="WW8Num8z1" w:type="character">
    <w:name w:val="WW8Num8z1"/>
    <w:qFormat/>
    <w:rPr>
      <w:rFonts w:ascii="Courier New" w:cs="Courier New" w:hAnsi="Courier New"/>
    </w:rPr>
  </w:style>
  <w:style w:styleId="WW8Num8z2" w:type="character">
    <w:name w:val="WW8Num8z2"/>
    <w:qFormat/>
    <w:rPr>
      <w:rFonts w:ascii="Wingdings" w:cs="Wingdings" w:hAnsi="Wingdings"/>
    </w:rPr>
  </w:style>
  <w:style w:styleId="WW8Num9z0" w:type="character">
    <w:name w:val="WW8Num9z0"/>
    <w:qFormat/>
    <w:rPr>
      <w:rFonts w:ascii="Symbol" w:cs="Symbol" w:hAnsi="Symbol"/>
    </w:rPr>
  </w:style>
  <w:style w:styleId="WW8Num9z1" w:type="character">
    <w:name w:val="WW8Num9z1"/>
    <w:qFormat/>
    <w:rPr>
      <w:rFonts w:ascii="Courier New" w:cs="Courier New" w:hAnsi="Courier New"/>
    </w:rPr>
  </w:style>
  <w:style w:styleId="WW8Num9z2" w:type="character">
    <w:name w:val="WW8Num9z2"/>
    <w:qFormat/>
    <w:rPr>
      <w:rFonts w:ascii="Wingdings" w:cs="Wingdings" w:hAnsi="Wingdings"/>
    </w:rPr>
  </w:style>
  <w:style w:styleId="WW8Num11z0" w:type="character">
    <w:name w:val="WW8Num11z0"/>
    <w:qFormat/>
    <w:rPr>
      <w:b/>
    </w:rPr>
  </w:style>
  <w:style w:styleId="WW8Num12z0" w:type="character">
    <w:name w:val="WW8Num12z0"/>
    <w:qFormat/>
    <w:rPr>
      <w:b w:val="false"/>
    </w:rPr>
  </w:style>
  <w:style w:styleId="WW8Num13z0" w:type="character">
    <w:name w:val="WW8Num13z0"/>
    <w:qFormat/>
    <w:rPr>
      <w:b/>
    </w:rPr>
  </w:style>
  <w:style w:styleId="WW8Num14z0" w:type="character">
    <w:name w:val="WW8Num14z0"/>
    <w:qFormat/>
    <w:rPr>
      <w:rFonts w:ascii="Symbol" w:cs="Symbol" w:hAnsi="Symbol"/>
    </w:rPr>
  </w:style>
  <w:style w:styleId="WW8Num14z1" w:type="character">
    <w:name w:val="WW8Num14z1"/>
    <w:qFormat/>
    <w:rPr>
      <w:rFonts w:ascii="Courier New" w:cs="Courier New" w:hAnsi="Courier New"/>
    </w:rPr>
  </w:style>
  <w:style w:styleId="WW8Num14z5" w:type="character">
    <w:name w:val="WW8Num14z5"/>
    <w:qFormat/>
    <w:rPr>
      <w:rFonts w:ascii="Wingdings" w:cs="Wingdings" w:hAnsi="Wingdings"/>
    </w:rPr>
  </w:style>
  <w:style w:styleId="WW8Num15z0" w:type="character">
    <w:name w:val="WW8Num15z0"/>
    <w:qFormat/>
    <w:rPr>
      <w:rFonts w:ascii="Symbol" w:cs="Symbol" w:hAnsi="Symbol"/>
    </w:rPr>
  </w:style>
  <w:style w:styleId="WW8Num15z1" w:type="character">
    <w:name w:val="WW8Num15z1"/>
    <w:qFormat/>
    <w:rPr>
      <w:rFonts w:ascii="Courier New" w:cs="Courier New" w:hAnsi="Courier New"/>
    </w:rPr>
  </w:style>
  <w:style w:styleId="WW8Num15z2" w:type="character">
    <w:name w:val="WW8Num15z2"/>
    <w:qFormat/>
    <w:rPr>
      <w:rFonts w:ascii="Wingdings" w:cs="Wingdings" w:hAnsi="Wingdings"/>
    </w:rPr>
  </w:style>
  <w:style w:styleId="WW8Num16z0" w:type="character">
    <w:name w:val="WW8Num16z0"/>
    <w:qFormat/>
    <w:rPr>
      <w:rFonts w:ascii="Symbol" w:cs="Symbol" w:hAnsi="Symbol"/>
    </w:rPr>
  </w:style>
  <w:style w:styleId="WW8Num16z1" w:type="character">
    <w:name w:val="WW8Num16z1"/>
    <w:qFormat/>
    <w:rPr>
      <w:rFonts w:ascii="Courier New" w:cs="Courier New" w:hAnsi="Courier New"/>
    </w:rPr>
  </w:style>
  <w:style w:styleId="WW8Num16z2" w:type="character">
    <w:name w:val="WW8Num16z2"/>
    <w:qFormat/>
    <w:rPr>
      <w:rFonts w:ascii="Wingdings" w:cs="Wingdings" w:hAnsi="Wingdings"/>
    </w:rPr>
  </w:style>
  <w:style w:styleId="WW8Num17z0" w:type="character">
    <w:name w:val="WW8Num17z0"/>
    <w:qFormat/>
    <w:rPr>
      <w:rFonts w:ascii="Symbol" w:cs="Symbol" w:hAnsi="Symbol"/>
    </w:rPr>
  </w:style>
  <w:style w:styleId="WW8Num17z1" w:type="character">
    <w:name w:val="WW8Num17z1"/>
    <w:qFormat/>
    <w:rPr>
      <w:rFonts w:ascii="Courier New" w:cs="Courier New" w:hAnsi="Courier New"/>
    </w:rPr>
  </w:style>
  <w:style w:styleId="WW8Num17z2" w:type="character">
    <w:name w:val="WW8Num17z2"/>
    <w:qFormat/>
    <w:rPr>
      <w:rFonts w:ascii="Wingdings" w:cs="Wingdings" w:hAnsi="Wingdings"/>
    </w:rPr>
  </w:style>
  <w:style w:styleId="WW8Num18z0" w:type="character">
    <w:name w:val="WW8Num18z0"/>
    <w:qFormat/>
    <w:rPr>
      <w:b/>
      <w:i w:val="false"/>
    </w:rPr>
  </w:style>
  <w:style w:styleId="WW8Num19z0" w:type="character">
    <w:name w:val="WW8Num19z0"/>
    <w:qFormat/>
    <w:rPr>
      <w:rFonts w:ascii="Symbol" w:cs="Symbol" w:hAnsi="Symbol"/>
    </w:rPr>
  </w:style>
  <w:style w:styleId="WW8Num19z1" w:type="character">
    <w:name w:val="WW8Num19z1"/>
    <w:qFormat/>
    <w:rPr>
      <w:rFonts w:ascii="Courier New" w:cs="Courier New" w:hAnsi="Courier New"/>
    </w:rPr>
  </w:style>
  <w:style w:styleId="WW8Num19z2" w:type="character">
    <w:name w:val="WW8Num19z2"/>
    <w:qFormat/>
    <w:rPr>
      <w:rFonts w:ascii="Wingdings" w:cs="Wingdings" w:hAnsi="Wingdings"/>
    </w:rPr>
  </w:style>
  <w:style w:styleId="WW8Num20z0" w:type="character">
    <w:name w:val="WW8Num20z0"/>
    <w:qFormat/>
    <w:rPr>
      <w:rFonts w:ascii="Symbol" w:cs="Symbol" w:hAnsi="Symbol"/>
      <w:b/>
    </w:rPr>
  </w:style>
  <w:style w:styleId="WW8Num20z1" w:type="character">
    <w:name w:val="WW8Num20z1"/>
    <w:qFormat/>
    <w:rPr>
      <w:rFonts w:ascii="Arial" w:cs="Arial" w:eastAsia="Times New Roman" w:hAnsi="Arial"/>
    </w:rPr>
  </w:style>
  <w:style w:styleId="WW8Num22z0" w:type="character">
    <w:name w:val="WW8Num22z0"/>
    <w:qFormat/>
    <w:rPr>
      <w:rFonts w:ascii="Symbol" w:cs="Symbol" w:hAnsi="Symbol"/>
      <w:color w:val="000000"/>
    </w:rPr>
  </w:style>
  <w:style w:styleId="WW8Num23z0" w:type="character">
    <w:name w:val="WW8Num23z0"/>
    <w:qFormat/>
    <w:rPr>
      <w:b/>
    </w:rPr>
  </w:style>
  <w:style w:styleId="WW8Num24z0" w:type="character">
    <w:name w:val="WW8Num24z0"/>
    <w:qFormat/>
    <w:rPr>
      <w:b w:val="false"/>
    </w:rPr>
  </w:style>
  <w:style w:styleId="WW8Num25z0" w:type="character">
    <w:name w:val="WW8Num25z0"/>
    <w:qFormat/>
    <w:rPr>
      <w:b/>
    </w:rPr>
  </w:style>
  <w:style w:styleId="WW8Num26z0" w:type="character">
    <w:name w:val="WW8Num26z0"/>
    <w:qFormat/>
    <w:rPr>
      <w:rFonts w:ascii="Symbol" w:cs="Symbol" w:hAnsi="Symbol"/>
    </w:rPr>
  </w:style>
  <w:style w:styleId="WW8Num26z1" w:type="character">
    <w:name w:val="WW8Num26z1"/>
    <w:qFormat/>
    <w:rPr>
      <w:rFonts w:ascii="Courier New" w:cs="Courier New" w:hAnsi="Courier New"/>
    </w:rPr>
  </w:style>
  <w:style w:styleId="WW8Num26z2" w:type="character">
    <w:name w:val="WW8Num26z2"/>
    <w:qFormat/>
    <w:rPr>
      <w:rFonts w:ascii="Wingdings" w:cs="Wingdings" w:hAnsi="Wingdings"/>
    </w:rPr>
  </w:style>
  <w:style w:styleId="WW8Num27z0" w:type="character">
    <w:name w:val="WW8Num27z0"/>
    <w:qFormat/>
    <w:rPr>
      <w:rFonts w:ascii="Symbol" w:cs="Symbol" w:hAnsi="Symbol"/>
      <w:color w:val="000000"/>
    </w:rPr>
  </w:style>
  <w:style w:styleId="WW8Num27z1" w:type="character">
    <w:name w:val="WW8Num27z1"/>
    <w:qFormat/>
    <w:rPr>
      <w:rFonts w:ascii="Courier New" w:cs="Courier New" w:hAnsi="Courier New"/>
    </w:rPr>
  </w:style>
  <w:style w:styleId="WW8Num27z2" w:type="character">
    <w:name w:val="WW8Num27z2"/>
    <w:qFormat/>
    <w:rPr>
      <w:rFonts w:ascii="Wingdings" w:cs="Wingdings" w:hAnsi="Wingdings"/>
    </w:rPr>
  </w:style>
  <w:style w:styleId="WW8Num27z3" w:type="character">
    <w:name w:val="WW8Num27z3"/>
    <w:qFormat/>
    <w:rPr>
      <w:rFonts w:ascii="Symbol" w:cs="Symbol" w:hAnsi="Symbol"/>
    </w:rPr>
  </w:style>
  <w:style w:styleId="WW8Num28z0" w:type="character">
    <w:name w:val="WW8Num28z0"/>
    <w:qFormat/>
    <w:rPr>
      <w:b/>
    </w:rPr>
  </w:style>
  <w:style w:styleId="WW8Num28z1" w:type="character">
    <w:name w:val="WW8Num28z1"/>
    <w:qFormat/>
    <w:rPr/>
  </w:style>
  <w:style w:styleId="WW8Num29z0" w:type="character">
    <w:name w:val="WW8Num29z0"/>
    <w:qFormat/>
    <w:rPr>
      <w:b/>
      <w:i w:val="false"/>
    </w:rPr>
  </w:style>
  <w:style w:styleId="WW8Num30z0" w:type="character">
    <w:name w:val="WW8Num30z0"/>
    <w:qFormat/>
    <w:rPr>
      <w:rFonts w:ascii="Symbol" w:cs="Symbol" w:hAnsi="Symbol"/>
    </w:rPr>
  </w:style>
  <w:style w:styleId="WW8Num30z1" w:type="character">
    <w:name w:val="WW8Num30z1"/>
    <w:qFormat/>
    <w:rPr>
      <w:rFonts w:ascii="Courier New" w:cs="Courier New" w:hAnsi="Courier New"/>
    </w:rPr>
  </w:style>
  <w:style w:styleId="WW8Num30z2" w:type="character">
    <w:name w:val="WW8Num30z2"/>
    <w:qFormat/>
    <w:rPr>
      <w:rFonts w:ascii="Wingdings" w:cs="Wingdings" w:hAnsi="Wingdings"/>
    </w:rPr>
  </w:style>
  <w:style w:styleId="WW8Num31z0" w:type="character">
    <w:name w:val="WW8Num31z0"/>
    <w:qFormat/>
    <w:rPr/>
  </w:style>
  <w:style w:styleId="WW8Num32z0" w:type="character">
    <w:name w:val="WW8Num32z0"/>
    <w:qFormat/>
    <w:rPr>
      <w:rFonts w:ascii="Symbol" w:cs="Symbol" w:hAnsi="Symbol"/>
    </w:rPr>
  </w:style>
  <w:style w:styleId="WW8Num32z1" w:type="character">
    <w:name w:val="WW8Num32z1"/>
    <w:qFormat/>
    <w:rPr>
      <w:rFonts w:ascii="Courier New" w:cs="Courier New" w:hAnsi="Courier New"/>
    </w:rPr>
  </w:style>
  <w:style w:styleId="WW8Num32z2" w:type="character">
    <w:name w:val="WW8Num32z2"/>
    <w:qFormat/>
    <w:rPr>
      <w:rFonts w:ascii="Wingdings" w:cs="Wingdings" w:hAnsi="Wingdings"/>
    </w:rPr>
  </w:style>
  <w:style w:styleId="WW8Num33z0" w:type="character">
    <w:name w:val="WW8Num33z0"/>
    <w:qFormat/>
    <w:rPr>
      <w:b/>
    </w:rPr>
  </w:style>
  <w:style w:styleId="WW8Num33z1" w:type="character">
    <w:name w:val="WW8Num33z1"/>
    <w:qFormat/>
    <w:rPr>
      <w:rFonts w:ascii="Arial" w:cs="Arial" w:eastAsia="Times New Roman" w:hAnsi="Arial"/>
    </w:rPr>
  </w:style>
  <w:style w:styleId="WW8Num34z0" w:type="character">
    <w:name w:val="WW8Num34z0"/>
    <w:qFormat/>
    <w:rPr>
      <w:b/>
    </w:rPr>
  </w:style>
  <w:style w:styleId="WW8Num34z1" w:type="character">
    <w:name w:val="WW8Num34z1"/>
    <w:qFormat/>
    <w:rPr>
      <w:rFonts w:ascii="Arial" w:cs="Arial" w:eastAsia="Times New Roman" w:hAnsi="Arial"/>
    </w:rPr>
  </w:style>
  <w:style w:styleId="WW8Num35z0" w:type="character">
    <w:name w:val="WW8Num35z0"/>
    <w:qFormat/>
    <w:rPr>
      <w:rFonts w:ascii="Symbol" w:cs="Symbol" w:hAnsi="Symbol"/>
    </w:rPr>
  </w:style>
  <w:style w:styleId="WW8Num35z1" w:type="character">
    <w:name w:val="WW8Num35z1"/>
    <w:qFormat/>
    <w:rPr>
      <w:rFonts w:ascii="Courier New" w:cs="Courier New" w:hAnsi="Courier New"/>
    </w:rPr>
  </w:style>
  <w:style w:styleId="WW8Num35z2" w:type="character">
    <w:name w:val="WW8Num35z2"/>
    <w:qFormat/>
    <w:rPr>
      <w:rFonts w:ascii="Wingdings" w:cs="Wingdings" w:hAnsi="Wingdings"/>
    </w:rPr>
  </w:style>
  <w:style w:styleId="WW8Num36z0" w:type="character">
    <w:name w:val="WW8Num36z0"/>
    <w:qFormat/>
    <w:rPr>
      <w:rFonts w:ascii="Symbol" w:cs="Symbol" w:hAnsi="Symbol"/>
    </w:rPr>
  </w:style>
  <w:style w:styleId="WW8Num36z1" w:type="character">
    <w:name w:val="WW8Num36z1"/>
    <w:qFormat/>
    <w:rPr>
      <w:rFonts w:ascii="Courier New" w:cs="Courier New" w:hAnsi="Courier New"/>
    </w:rPr>
  </w:style>
  <w:style w:styleId="WW8Num36z2" w:type="character">
    <w:name w:val="WW8Num36z2"/>
    <w:qFormat/>
    <w:rPr>
      <w:rFonts w:ascii="Wingdings" w:cs="Wingdings" w:hAnsi="Wingdings"/>
    </w:rPr>
  </w:style>
  <w:style w:styleId="WW8Num38z0" w:type="character">
    <w:name w:val="WW8Num38z0"/>
    <w:qFormat/>
    <w:rPr>
      <w:rFonts w:ascii="Symbol" w:cs="Symbol" w:hAnsi="Symbol"/>
    </w:rPr>
  </w:style>
  <w:style w:styleId="WW8Num38z1" w:type="character">
    <w:name w:val="WW8Num38z1"/>
    <w:qFormat/>
    <w:rPr>
      <w:rFonts w:ascii="Courier New" w:cs="Courier New" w:hAnsi="Courier New"/>
    </w:rPr>
  </w:style>
  <w:style w:styleId="WW8Num38z2" w:type="character">
    <w:name w:val="WW8Num38z2"/>
    <w:qFormat/>
    <w:rPr>
      <w:rFonts w:ascii="Wingdings" w:cs="Wingdings" w:hAnsi="Wingdings"/>
    </w:rPr>
  </w:style>
  <w:style w:styleId="WW8Num39z0" w:type="character">
    <w:name w:val="WW8Num39z0"/>
    <w:qFormat/>
    <w:rPr>
      <w:b/>
      <w:i w:val="false"/>
    </w:rPr>
  </w:style>
  <w:style w:styleId="WW8Num40z0" w:type="character">
    <w:name w:val="WW8Num40z0"/>
    <w:qFormat/>
    <w:rPr>
      <w:rFonts w:ascii="Symbol" w:cs="Symbol" w:hAnsi="Symbol"/>
    </w:rPr>
  </w:style>
  <w:style w:styleId="WW8Num40z1" w:type="character">
    <w:name w:val="WW8Num40z1"/>
    <w:qFormat/>
    <w:rPr>
      <w:rFonts w:ascii="Courier New" w:cs="Courier New" w:hAnsi="Courier New"/>
    </w:rPr>
  </w:style>
  <w:style w:styleId="WW8Num40z2" w:type="character">
    <w:name w:val="WW8Num40z2"/>
    <w:qFormat/>
    <w:rPr>
      <w:rFonts w:ascii="Wingdings" w:cs="Wingdings" w:hAnsi="Wingdings"/>
    </w:rPr>
  </w:style>
  <w:style w:styleId="WW8Num41z0" w:type="character">
    <w:name w:val="WW8Num41z0"/>
    <w:qFormat/>
    <w:rPr>
      <w:b/>
      <w:i w:val="false"/>
    </w:rPr>
  </w:style>
  <w:style w:styleId="WW8Num41z1" w:type="character">
    <w:name w:val="WW8Num41z1"/>
    <w:qFormat/>
    <w:rPr>
      <w:b/>
    </w:rPr>
  </w:style>
  <w:style w:styleId="WW8Num42z0" w:type="character">
    <w:name w:val="WW8Num42z0"/>
    <w:qFormat/>
    <w:rPr>
      <w:b/>
    </w:rPr>
  </w:style>
  <w:style w:styleId="WW8Num43z0" w:type="character">
    <w:name w:val="WW8Num43z0"/>
    <w:qFormat/>
    <w:rPr>
      <w:rFonts w:ascii="Symbol" w:cs="Symbol" w:hAnsi="Symbol"/>
    </w:rPr>
  </w:style>
  <w:style w:styleId="WW8Num43z1" w:type="character">
    <w:name w:val="WW8Num43z1"/>
    <w:qFormat/>
    <w:rPr>
      <w:rFonts w:ascii="Courier New" w:cs="Courier New" w:hAnsi="Courier New"/>
    </w:rPr>
  </w:style>
  <w:style w:styleId="WW8Num43z2" w:type="character">
    <w:name w:val="WW8Num43z2"/>
    <w:qFormat/>
    <w:rPr>
      <w:rFonts w:ascii="Wingdings" w:cs="Wingdings" w:hAnsi="Wingdings"/>
    </w:rPr>
  </w:style>
  <w:style w:styleId="WW8Num44z0" w:type="character">
    <w:name w:val="WW8Num44z0"/>
    <w:qFormat/>
    <w:rPr/>
  </w:style>
  <w:style w:styleId="WW8Num45z0" w:type="character">
    <w:name w:val="WW8Num45z0"/>
    <w:qFormat/>
    <w:rPr>
      <w:b/>
    </w:rPr>
  </w:style>
  <w:style w:styleId="WW8Num46z0" w:type="character">
    <w:name w:val="WW8Num46z0"/>
    <w:qFormat/>
    <w:rPr>
      <w:b w:val="false"/>
    </w:rPr>
  </w:style>
  <w:style w:styleId="Fuentedeprrafopredeter" w:type="character">
    <w:name w:val="Fuente de párrafo predeter."/>
    <w:qFormat/>
    <w:rPr/>
  </w:style>
  <w:style w:styleId="Refdecomentario" w:type="character">
    <w:name w:val="Ref. de comentario"/>
    <w:qFormat/>
    <w:rPr>
      <w:sz w:val="16"/>
      <w:szCs w:val="16"/>
    </w:rPr>
  </w:style>
  <w:style w:styleId="estilo101" w:type="character">
    <w:name w:val="estilo101"/>
    <w:qFormat/>
    <w:rPr>
      <w:rFonts w:ascii="Georgia" w:cs="Georgia" w:hAnsi="Georgia"/>
    </w:rPr>
  </w:style>
  <w:style w:styleId="TextoindependienteCar" w:type="character">
    <w:name w:val="Texto independiente Car"/>
    <w:qFormat/>
    <w:rPr>
      <w:sz w:val="24"/>
      <w:szCs w:val="24"/>
      <w:lang w:val="es-MX"/>
    </w:rPr>
  </w:style>
  <w:style w:styleId="eacep1" w:type="character">
    <w:name w:val="eacep1"/>
    <w:qFormat/>
    <w:rPr>
      <w:color w:val="000000"/>
    </w:rPr>
  </w:style>
  <w:style w:styleId="Sangra3detindependienteCar" w:type="character">
    <w:name w:val="Sangría 3 de t. independiente Car"/>
    <w:qFormat/>
    <w:rPr>
      <w:sz w:val="16"/>
      <w:szCs w:val="16"/>
    </w:rPr>
  </w:style>
  <w:style w:styleId="SangradetextonormalCar" w:type="character">
    <w:name w:val="Sangría de texto normal Car"/>
    <w:qFormat/>
    <w:rPr>
      <w:rFonts w:ascii="Arial" w:cs="Arial" w:hAnsi="Arial"/>
      <w:bCs/>
      <w:sz w:val="22"/>
      <w:szCs w:val="22"/>
      <w:lang w:val="es-ES"/>
    </w:rPr>
  </w:style>
  <w:style w:styleId="Hyperlink" w:type="character">
    <w:name w:val="Hyperlink"/>
    <w:rPr>
      <w:color w:val="0563C1"/>
      <w:u w:val="single"/>
    </w:rPr>
  </w:style>
  <w:style w:styleId="Mencinsinresolver" w:type="character">
    <w:name w:val="Mención sin resolver"/>
    <w:qFormat/>
    <w:rPr>
      <w:color w:val="605E5C"/>
      <w:shd w:fill="E1DFDD" w:val="clear"/>
    </w:rPr>
  </w:style>
  <w:style w:styleId="Emphasis" w:type="character">
    <w:name w:val="Emphasis"/>
    <w:qFormat/>
    <w:rPr>
      <w:i/>
      <w:iCs/>
    </w:rPr>
  </w:style>
  <w:style w:styleId="Ttulo2Car" w:type="character">
    <w:name w:val="Título 2 Car"/>
    <w:qFormat/>
    <w:rPr>
      <w:rFonts w:ascii="Aptos Display" w:cs="Times New Roman" w:eastAsia="Times New Roman" w:hAnsi="Aptos Display"/>
      <w:b/>
      <w:bCs/>
      <w:i/>
      <w:iCs/>
      <w:sz w:val="28"/>
      <w:szCs w:val="28"/>
      <w:lang w:val="es-ES"/>
    </w:rPr>
  </w:style>
  <w:style w:styleId="Ttulo3Car" w:type="character">
    <w:name w:val="Título 3 Car"/>
    <w:qFormat/>
    <w:rPr>
      <w:rFonts w:ascii="Calibri Light" w:cs="Times New Roman" w:eastAsia="Times New Roman" w:hAnsi="Calibri Light"/>
      <w:b/>
      <w:bCs/>
      <w:sz w:val="26"/>
      <w:szCs w:val="26"/>
      <w:lang w:val="es-ES"/>
    </w:rPr>
  </w:style>
  <w:style w:styleId="Heading" w:type="paragraph">
    <w:name w:val="Heading"/>
    <w:basedOn w:val="Normal"/>
    <w:next w:val="BodyText"/>
    <w:qFormat/>
    <w:pPr>
      <w:keepNext w:val="true"/>
      <w:spacing w:after="120" w:before="240"/>
    </w:pPr>
    <w:rPr>
      <w:rFonts w:ascii="Liberation Sans" w:cs="Liberation Sans" w:eastAsia="Noto Sans CJK SC" w:hAnsi="Liberation Sans"/>
      <w:sz w:val="28"/>
      <w:szCs w:val="28"/>
    </w:rPr>
  </w:style>
  <w:style w:styleId="BodyText" w:type="paragraph">
    <w:name w:val="Body Text"/>
    <w:basedOn w:val="Normal"/>
    <w:pPr>
      <w:spacing w:after="120" w:before="0"/>
    </w:pPr>
    <w:rPr>
      <w:lang w:val="es-MX"/>
    </w:rPr>
  </w:style>
  <w:style w:styleId="List" w:type="paragraph">
    <w:name w:val="List"/>
    <w:basedOn w:val="BodyText"/>
    <w:pPr/>
    <w:rPr>
      <w:rFonts w:cs="Liberation Sans"/>
    </w:rPr>
  </w:style>
  <w:style w:styleId="Caption" w:type="paragraph">
    <w:name w:val="caption"/>
    <w:basedOn w:val="Normal"/>
    <w:qFormat/>
    <w:pPr>
      <w:suppressLineNumbers/>
      <w:spacing w:after="120" w:before="120"/>
    </w:pPr>
    <w:rPr>
      <w:rFonts w:cs="Liberation Sans"/>
      <w:i/>
      <w:iCs/>
      <w:sz w:val="24"/>
      <w:szCs w:val="24"/>
    </w:rPr>
  </w:style>
  <w:style w:styleId="Index" w:type="paragraph">
    <w:name w:val="Index"/>
    <w:basedOn w:val="Normal"/>
    <w:qFormat/>
    <w:pPr>
      <w:suppressLineNumbers/>
    </w:pPr>
    <w:rPr>
      <w:rFonts w:cs="Liberation Sans"/>
    </w:rPr>
  </w:style>
  <w:style w:styleId="HeaderandFooter" w:type="paragraph">
    <w:name w:val="Header and Footer"/>
    <w:basedOn w:val="Normal"/>
    <w:qFormat/>
    <w:pPr>
      <w:suppressLineNumbers/>
      <w:tabs>
        <w:tab w:pos="708" w:val="clear"/>
        <w:tab w:leader="none" w:pos="4819" w:val="center"/>
        <w:tab w:leader="none" w:pos="9638" w:val="right"/>
      </w:tabs>
    </w:pPr>
    <w:rPr/>
  </w:style>
  <w:style w:styleId="Header" w:type="paragraph">
    <w:name w:val="header"/>
    <w:basedOn w:val="Normal"/>
    <w:pPr>
      <w:tabs>
        <w:tab w:pos="708" w:val="clear"/>
        <w:tab w:leader="none" w:pos="4252" w:val="center"/>
        <w:tab w:leader="none" w:pos="8504" w:val="right"/>
      </w:tabs>
    </w:pPr>
    <w:rPr/>
  </w:style>
  <w:style w:styleId="Footer" w:type="paragraph">
    <w:name w:val="footer"/>
    <w:basedOn w:val="Normal"/>
    <w:pPr>
      <w:tabs>
        <w:tab w:pos="708" w:val="clear"/>
        <w:tab w:leader="none" w:pos="4252" w:val="center"/>
        <w:tab w:leader="none" w:pos="8504" w:val="right"/>
      </w:tabs>
    </w:pPr>
    <w:rPr/>
  </w:style>
  <w:style w:styleId="Textodeglobo" w:type="paragraph">
    <w:name w:val="Texto de globo"/>
    <w:basedOn w:val="Normal"/>
    <w:qFormat/>
    <w:pPr/>
    <w:rPr>
      <w:rFonts w:ascii="Tahoma" w:cs="Tahoma" w:hAnsi="Tahoma"/>
      <w:sz w:val="16"/>
      <w:szCs w:val="16"/>
    </w:rPr>
  </w:style>
  <w:style w:styleId="Textocomentario" w:type="paragraph">
    <w:name w:val="Texto comentario"/>
    <w:basedOn w:val="Normal"/>
    <w:qFormat/>
    <w:pPr/>
    <w:rPr>
      <w:sz w:val="20"/>
      <w:szCs w:val="20"/>
    </w:rPr>
  </w:style>
  <w:style w:styleId="Asuntodelcomentario" w:type="paragraph">
    <w:name w:val="Asunto del comentario"/>
    <w:basedOn w:val="Textocomentario"/>
    <w:next w:val="Textocomentario"/>
    <w:qFormat/>
    <w:pPr/>
    <w:rPr>
      <w:b/>
      <w:bCs/>
    </w:rPr>
  </w:style>
  <w:style w:styleId="Sangra3detindependiente" w:type="paragraph">
    <w:name w:val="Sangría 3 de t. independiente"/>
    <w:basedOn w:val="Normal"/>
    <w:qFormat/>
    <w:pPr>
      <w:spacing w:after="120" w:before="0"/>
      <w:ind w:end="0" w:hanging="0" w:start="283"/>
    </w:pPr>
    <w:rPr>
      <w:sz w:val="16"/>
      <w:szCs w:val="16"/>
      <w:lang w:val="en-US"/>
    </w:rPr>
  </w:style>
  <w:style w:styleId="Default" w:type="paragraph">
    <w:name w:val="Default"/>
    <w:qFormat/>
    <w:pPr>
      <w:widowControl/>
      <w:autoSpaceDE w:val="false"/>
      <w:bidi w:val="0"/>
    </w:pPr>
    <w:rPr>
      <w:rFonts w:ascii="Arial" w:cs="Arial" w:eastAsia="Times New Roman" w:hAnsi="Arial"/>
      <w:color w:val="000000"/>
      <w:sz w:val="24"/>
      <w:szCs w:val="24"/>
      <w:lang w:bidi="ar-SA" w:eastAsia="zh-CN" w:val="es-ES"/>
    </w:rPr>
  </w:style>
  <w:style w:styleId="Cuadrculaclara-nfasis3" w:type="paragraph">
    <w:name w:val="Cuadrícula clara - Énfasis 3"/>
    <w:basedOn w:val="Normal"/>
    <w:qFormat/>
    <w:pPr>
      <w:ind w:end="0" w:hanging="0" w:start="708"/>
    </w:pPr>
    <w:rPr/>
  </w:style>
  <w:style w:styleId="BodyTextIndent" w:type="paragraph">
    <w:name w:val="Body Text Indent"/>
    <w:basedOn w:val="Normal"/>
    <w:pPr>
      <w:spacing w:after="120" w:before="120"/>
      <w:ind w:end="0" w:hanging="180" w:start="180"/>
      <w:jc w:val="both"/>
    </w:pPr>
    <w:rPr>
      <w:rFonts w:ascii="Arial" w:cs="Arial" w:hAnsi="Arial"/>
      <w:bCs/>
      <w:sz w:val="22"/>
      <w:szCs w:val="22"/>
    </w:rPr>
  </w:style>
  <w:style w:styleId="Prrafodelista" w:type="paragraph">
    <w:name w:val="Párrafo de lista"/>
    <w:basedOn w:val="Normal"/>
    <w:qFormat/>
    <w:pPr>
      <w:ind w:end="0" w:hanging="0" w:start="708"/>
    </w:pPr>
    <w:rPr/>
  </w:style>
  <w:style w:styleId="Revisin" w:type="paragraph">
    <w:name w:val="Revisión"/>
    <w:qFormat/>
    <w:pPr>
      <w:widowControl/>
      <w:bidi w:val="0"/>
    </w:pPr>
    <w:rPr>
      <w:rFonts w:ascii="Times New Roman" w:cs="Times New Roman" w:eastAsia="Times New Roman" w:hAnsi="Times New Roman"/>
      <w:color w:val="auto"/>
      <w:sz w:val="24"/>
      <w:szCs w:val="24"/>
      <w:lang w:bidi="ar-SA" w:eastAsia="zh-CN" w:val="es-ES"/>
    </w:rPr>
  </w:style>
  <w:style w:styleId="NormalWeb" w:type="paragraph">
    <w:name w:val="Normal (Web)"/>
    <w:basedOn w:val="Normal"/>
    <w:qFormat/>
    <w:pPr/>
    <w:rPr/>
  </w:style>
  <w:style w:styleId="TableContents" w:type="paragraph">
    <w:name w:val="Table Contents"/>
    <w:basedOn w:val="Normal"/>
    <w:qFormat/>
    <w:pPr>
      <w:widowControl w:val="false"/>
      <w:suppressLineNumbers/>
    </w:pPr>
    <w:rPr/>
  </w:style>
  <w:style w:styleId="TableHeading" w:type="paragraph">
    <w:name w:val="Table Heading"/>
    <w:basedOn w:val="TableContents"/>
    <w:qFormat/>
    <w:pPr>
      <w:suppressLineNumbers/>
      <w:jc w:val="center"/>
    </w:pPr>
    <w:rPr>
      <w:b/>
      <w:bCs/>
    </w:rPr>
  </w:style>
  <w:style w:styleId="FrameContents" w:type="paragraph">
    <w:name w:val="Frame Contents"/>
    <w:basedOn w:val="Normal"/>
    <w:qFormat/>
    <w:pPr/>
    <w:rPr/>
  </w:style>
  <w:style w:styleId="WW8Num1" w:type="numbering">
    <w:name w:val="WW8Num1"/>
    <w:qFormat/>
  </w:style>
  <w:style w:styleId="WW8Num2" w:type="numbering">
    <w:name w:val="WW8Num2"/>
    <w:qFormat/>
  </w:style>
  <w:style w:styleId="WW8Num3" w:type="numbering">
    <w:name w:val="WW8Num3"/>
    <w:qFormat/>
  </w:style>
  <w:style w:styleId="WW8Num4" w:type="numbering">
    <w:name w:val="WW8Num4"/>
    <w:qFormat/>
  </w:style>
  <w:style w:styleId="WW8Num5" w:type="numbering">
    <w:name w:val="WW8Num5"/>
    <w:qFormat/>
  </w:style>
  <w:style w:styleId="WW8Num6" w:type="numbering">
    <w:name w:val="WW8Num6"/>
    <w:qFormat/>
  </w:style>
  <w:style w:styleId="WW8Num7" w:type="numbering">
    <w:name w:val="WW8Num7"/>
    <w:qFormat/>
  </w:style>
  <w:style w:styleId="WW8Num8" w:type="numbering">
    <w:name w:val="WW8Num8"/>
    <w:qFormat/>
  </w:style>
  <w:style w:styleId="WW8Num9" w:type="numbering">
    <w:name w:val="WW8Num9"/>
    <w:qFormat/>
  </w:style>
  <w:style w:styleId="WW8Num10" w:type="numbering">
    <w:name w:val="WW8Num10"/>
    <w:qFormat/>
  </w:style>
  <w:style w:styleId="WW8Num11" w:type="numbering">
    <w:name w:val="WW8Num11"/>
    <w:qFormat/>
  </w:style>
  <w:style w:styleId="WW8Num12" w:type="numbering">
    <w:name w:val="WW8Num12"/>
    <w:qFormat/>
  </w:style>
  <w:style w:styleId="WW8Num13" w:type="numbering">
    <w:name w:val="WW8Num13"/>
    <w:qFormat/>
  </w:style>
  <w:style w:styleId="WW8Num14" w:type="numbering">
    <w:name w:val="WW8Num14"/>
    <w:qFormat/>
  </w:style>
  <w:style w:styleId="WW8Num15" w:type="numbering">
    <w:name w:val="WW8Num15"/>
    <w:qFormat/>
  </w:style>
  <w:style w:styleId="WW8Num16" w:type="numbering">
    <w:name w:val="WW8Num16"/>
    <w:qFormat/>
  </w:style>
  <w:style w:styleId="WW8Num17" w:type="numbering">
    <w:name w:val="WW8Num17"/>
    <w:qFormat/>
  </w:style>
  <w:style w:styleId="WW8Num18" w:type="numbering">
    <w:name w:val="WW8Num18"/>
    <w:qFormat/>
  </w:style>
  <w:style w:styleId="WW8Num19" w:type="numbering">
    <w:name w:val="WW8Num19"/>
    <w:qFormat/>
  </w:style>
  <w:style w:styleId="WW8Num20" w:type="numbering">
    <w:name w:val="WW8Num20"/>
    <w:qFormat/>
  </w:style>
  <w:style w:styleId="WW8Num21" w:type="numbering">
    <w:name w:val="WW8Num21"/>
    <w:qFormat/>
  </w:style>
  <w:style w:styleId="WW8Num22" w:type="numbering">
    <w:name w:val="WW8Num22"/>
    <w:qFormat/>
  </w:style>
  <w:style w:styleId="WW8Num23" w:type="numbering">
    <w:name w:val="WW8Num23"/>
    <w:qFormat/>
  </w:style>
  <w:style w:styleId="WW8Num24" w:type="numbering">
    <w:name w:val="WW8Num24"/>
    <w:qFormat/>
  </w:style>
  <w:style w:styleId="WW8Num25" w:type="numbering">
    <w:name w:val="WW8Num25"/>
    <w:qFormat/>
  </w:style>
  <w:style w:styleId="WW8Num26" w:type="numbering">
    <w:name w:val="WW8Num26"/>
    <w:qFormat/>
  </w:style>
  <w:style w:styleId="WW8Num27" w:type="numbering">
    <w:name w:val="WW8Num27"/>
    <w:qFormat/>
  </w:style>
  <w:style w:styleId="WW8Num28" w:type="numbering">
    <w:name w:val="WW8Num28"/>
    <w:qFormat/>
  </w:style>
  <w:style w:styleId="WW8Num29" w:type="numbering">
    <w:name w:val="WW8Num29"/>
    <w:qFormat/>
  </w:style>
  <w:style w:styleId="WW8Num30" w:type="numbering">
    <w:name w:val="WW8Num30"/>
    <w:qFormat/>
  </w:style>
  <w:style w:styleId="WW8Num31" w:type="numbering">
    <w:name w:val="WW8Num31"/>
    <w:qFormat/>
  </w:style>
  <w:style w:styleId="WW8Num32" w:type="numbering">
    <w:name w:val="WW8Num32"/>
    <w:qFormat/>
  </w:style>
  <w:style w:styleId="WW8Num33" w:type="numbering">
    <w:name w:val="WW8Num33"/>
    <w:qFormat/>
  </w:style>
  <w:style w:styleId="WW8Num34" w:type="numbering">
    <w:name w:val="WW8Num34"/>
    <w:qFormat/>
  </w:style>
  <w:style w:styleId="WW8Num35" w:type="numbering">
    <w:name w:val="WW8Num35"/>
    <w:qFormat/>
  </w:style>
  <w:style w:styleId="WW8Num36" w:type="numbering">
    <w:name w:val="WW8Num36"/>
    <w:qFormat/>
  </w:style>
  <w:style w:styleId="WW8Num37" w:type="numbering">
    <w:name w:val="WW8Num37"/>
    <w:qFormat/>
  </w:style>
  <w:style w:styleId="WW8Num38" w:type="numbering">
    <w:name w:val="WW8Num38"/>
    <w:qFormat/>
  </w:style>
  <w:style w:styleId="WW8Num39" w:type="numbering">
    <w:name w:val="WW8Num39"/>
    <w:qFormat/>
  </w:style>
  <w:style w:styleId="WW8Num40" w:type="numbering">
    <w:name w:val="WW8Num40"/>
    <w:qFormat/>
  </w:style>
  <w:style w:styleId="WW8Num41" w:type="numbering">
    <w:name w:val="WW8Num41"/>
    <w:qFormat/>
  </w:style>
  <w:style w:styleId="WW8Num42" w:type="numbering">
    <w:name w:val="WW8Num42"/>
    <w:qFormat/>
  </w:style>
  <w:style w:styleId="WW8Num43" w:type="numbering">
    <w:name w:val="WW8Num43"/>
    <w:qFormat/>
  </w:style>
  <w:style w:styleId="WW8Num44" w:type="numbering">
    <w:name w:val="WW8Num44"/>
    <w:qFormat/>
  </w:style>
  <w:style w:styleId="WW8Num45" w:type="numbering">
    <w:name w:val="WW8Num45"/>
    <w:qFormat/>
  </w:style>
  <w:style w:styleId="WW8Num46" w:type="numbering">
    <w:name w:val="WW8Num46"/>
    <w:qFormat/>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 Target="numbering.xml" /><Relationship Type="http://schemas.openxmlformats.org/officeDocument/2006/relationships/styles" Id="rId9" Target="styles.xml" /><Relationship Type="http://schemas.openxmlformats.org/officeDocument/2006/relationships/settings" Id="rId8" Target="settings.xml" /><Relationship Type="http://schemas.openxmlformats.org/officeDocument/2006/relationships/webSettings" Id="rId7" Target="webSettings.xml" /><Relationship Type="http://schemas.openxmlformats.org/officeDocument/2006/relationships/fontTable" Id="rId6" Target="fontTable.xml" /><Relationship Type="http://schemas.openxmlformats.org/officeDocument/2006/relationships/theme" Id="rId5" Target="theme/theme1.xml" /><Relationship Type="http://schemas.openxmlformats.org/officeDocument/2006/relationships/footnotes" Id="rId4" Target="footnotes.xml" /><Relationship Type="http://schemas.openxmlformats.org/officeDocument/2006/relationships/comments" Id="rId3" Target="comments.xml" /><Relationship Id="rId2"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2026-07-14T18:03:18Z</dcterms:created>
  <dcterms:modified xsi:type="dcterms:W3CDTF">2026-07-14T18:03:18Z</dcterms:modified>
</cp:coreProperties>
</file>

<file path=docProps/custom.xml><?xml version="1.0" encoding="utf-8"?>
<Properties xmlns="http://schemas.openxmlformats.org/officeDocument/2006/custom-properties" xmlns:vt="http://schemas.openxmlformats.org/officeDocument/2006/docPropsVTypes"/>
</file>