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i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w:t>
            </w:r>
            <w:r w:rsidDel="00000000" w:rsidR="00000000" w:rsidRPr="00000000">
              <w:rPr>
                <w:rFonts w:ascii="Arial" w:cs="Arial" w:eastAsia="Arial" w:hAnsi="Arial"/>
                <w:sz w:val="22"/>
                <w:szCs w:val="22"/>
                <w:rtl w:val="0"/>
              </w:rPr>
              <w:t xml:space="preserve">objetivo del procedimiento </w:t>
            </w:r>
            <w:r w:rsidDel="00000000" w:rsidR="00000000" w:rsidRPr="00000000">
              <w:rPr>
                <w:rFonts w:ascii="Arial" w:cs="Arial" w:eastAsia="Arial" w:hAnsi="Arial"/>
                <w:sz w:val="22"/>
                <w:szCs w:val="22"/>
                <w:vertAlign w:val="baseline"/>
                <w:rtl w:val="0"/>
              </w:rPr>
              <w:t xml:space="preserve">es definir los parámetros para el desarrollo del ensayo de aptitud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w:t>
            </w:r>
            <w:r w:rsidDel="00000000" w:rsidR="00000000" w:rsidRPr="00000000">
              <w:rPr>
                <w:rFonts w:ascii="Arial" w:cs="Arial" w:eastAsia="Arial" w:hAnsi="Arial"/>
                <w:sz w:val="22"/>
                <w:szCs w:val="22"/>
                <w:rtl w:val="0"/>
              </w:rPr>
              <w:t xml:space="preserve">procedimiento </w:t>
            </w:r>
            <w:r w:rsidDel="00000000" w:rsidR="00000000" w:rsidRPr="00000000">
              <w:rPr>
                <w:rFonts w:ascii="Arial" w:cs="Arial" w:eastAsia="Arial" w:hAnsi="Arial"/>
                <w:sz w:val="22"/>
                <w:szCs w:val="22"/>
                <w:vertAlign w:val="baseline"/>
                <w:rtl w:val="0"/>
              </w:rPr>
              <w:t xml:space="preserve">abarca todo el proceso desde la determinación de los niveles del ítem de ensayo</w:t>
            </w:r>
            <w:r w:rsidDel="00000000" w:rsidR="00000000" w:rsidRPr="00000000">
              <w:rPr>
                <w:rFonts w:ascii="Arial" w:cs="Arial" w:eastAsia="Arial" w:hAnsi="Arial"/>
                <w:sz w:val="22"/>
                <w:szCs w:val="22"/>
                <w:rtl w:val="0"/>
              </w:rPr>
              <w:t xml:space="preserve"> y el procedimiento para</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la evaluación de la competencia para el gas dióxido de azufre.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200" w:before="120" w:line="24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DEFINICIONES:</w:t>
            </w:r>
          </w:p>
          <w:p w:rsidR="00000000" w:rsidDel="00000000" w:rsidP="00000000" w:rsidRDefault="00000000" w:rsidRPr="00000000" w14:paraId="00000006">
            <w:pPr>
              <w:numPr>
                <w:ilvl w:val="0"/>
                <w:numId w:val="3"/>
              </w:numPr>
              <w:spacing w:after="200" w:before="24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r w:rsidDel="00000000" w:rsidR="00000000" w:rsidRPr="00000000">
              <w:rPr>
                <w:rtl w:val="0"/>
              </w:rPr>
            </w:r>
          </w:p>
          <w:p w:rsidR="00000000" w:rsidDel="00000000" w:rsidP="00000000" w:rsidRDefault="00000000" w:rsidRPr="00000000" w14:paraId="00000007">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r w:rsidDel="00000000" w:rsidR="00000000" w:rsidRPr="00000000">
              <w:rPr>
                <w:rtl w:val="0"/>
              </w:rPr>
            </w:r>
          </w:p>
          <w:p w:rsidR="00000000" w:rsidDel="00000000" w:rsidP="00000000" w:rsidRDefault="00000000" w:rsidRPr="00000000" w14:paraId="00000008">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SO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r w:rsidDel="00000000" w:rsidR="00000000" w:rsidRPr="00000000">
              <w:rPr>
                <w:rtl w:val="0"/>
              </w:rPr>
            </w:r>
          </w:p>
          <w:p w:rsidR="00000000" w:rsidDel="00000000" w:rsidP="00000000" w:rsidRDefault="00000000" w:rsidRPr="00000000" w14:paraId="00000009">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r w:rsidDel="00000000" w:rsidR="00000000" w:rsidRPr="00000000">
              <w:rPr>
                <w:rtl w:val="0"/>
              </w:rPr>
            </w:r>
          </w:p>
          <w:p w:rsidR="00000000" w:rsidDel="00000000" w:rsidP="00000000" w:rsidRDefault="00000000" w:rsidRPr="00000000" w14:paraId="0000000A">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r w:rsidDel="00000000" w:rsidR="00000000" w:rsidRPr="00000000">
              <w:rPr>
                <w:rtl w:val="0"/>
              </w:rPr>
            </w:r>
          </w:p>
          <w:p w:rsidR="00000000" w:rsidDel="00000000" w:rsidP="00000000" w:rsidRDefault="00000000" w:rsidRPr="00000000" w14:paraId="0000000B">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Item de ensayo: </w:t>
            </w:r>
            <w:r w:rsidDel="00000000" w:rsidR="00000000" w:rsidRPr="00000000">
              <w:rPr>
                <w:rFonts w:ascii="Arial" w:cs="Arial" w:eastAsia="Arial" w:hAnsi="Arial"/>
                <w:sz w:val="22"/>
                <w:szCs w:val="22"/>
                <w:rtl w:val="0"/>
              </w:rPr>
              <w:t xml:space="preserve">El ítem de ensayo es una atmósfera de gas contaminante criterio SO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en aire cero suministradas a través de un colector de distribución, generadas dinámicamente a partir de un Material Certificado de Referencia.</w:t>
            </w:r>
            <w:r w:rsidDel="00000000" w:rsidR="00000000" w:rsidRPr="00000000">
              <w:rPr>
                <w:rtl w:val="0"/>
              </w:rPr>
            </w:r>
          </w:p>
          <w:p w:rsidR="00000000" w:rsidDel="00000000" w:rsidP="00000000" w:rsidRDefault="00000000" w:rsidRPr="00000000" w14:paraId="0000000C">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r w:rsidDel="00000000" w:rsidR="00000000" w:rsidRPr="00000000">
              <w:rPr>
                <w:rtl w:val="0"/>
              </w:rPr>
            </w:r>
          </w:p>
          <w:p w:rsidR="00000000" w:rsidDel="00000000" w:rsidP="00000000" w:rsidRDefault="00000000" w:rsidRPr="00000000" w14:paraId="0000000D">
            <w:pPr>
              <w:numPr>
                <w:ilvl w:val="0"/>
                <w:numId w:val="3"/>
              </w:numPr>
              <w:spacing w:after="200" w:before="0" w:line="240" w:lineRule="auto"/>
              <w:ind w:left="720" w:hanging="360"/>
              <w:jc w:val="both"/>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r w:rsidDel="00000000" w:rsidR="00000000" w:rsidRPr="00000000">
              <w:rPr>
                <w:rtl w:val="0"/>
              </w:rPr>
            </w:r>
          </w:p>
          <w:p w:rsidR="00000000" w:rsidDel="00000000" w:rsidP="00000000" w:rsidRDefault="00000000" w:rsidRPr="00000000" w14:paraId="0000000F">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r w:rsidDel="00000000" w:rsidR="00000000" w:rsidRPr="00000000">
              <w:rPr>
                <w:rtl w:val="0"/>
              </w:rPr>
            </w:r>
          </w:p>
          <w:p w:rsidR="00000000" w:rsidDel="00000000" w:rsidP="00000000" w:rsidRDefault="00000000" w:rsidRPr="00000000" w14:paraId="00000010">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r w:rsidDel="00000000" w:rsidR="00000000" w:rsidRPr="00000000">
              <w:rPr>
                <w:rtl w:val="0"/>
              </w:rPr>
            </w:r>
          </w:p>
          <w:p w:rsidR="00000000" w:rsidDel="00000000" w:rsidP="00000000" w:rsidRDefault="00000000" w:rsidRPr="00000000" w14:paraId="00000011">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r w:rsidDel="00000000" w:rsidR="00000000" w:rsidRPr="00000000">
              <w:rPr>
                <w:rtl w:val="0"/>
              </w:rPr>
            </w:r>
          </w:p>
          <w:p w:rsidR="00000000" w:rsidDel="00000000" w:rsidP="00000000" w:rsidRDefault="00000000" w:rsidRPr="00000000" w14:paraId="00000012">
            <w:pPr>
              <w:numPr>
                <w:ilvl w:val="0"/>
                <w:numId w:val="3"/>
              </w:numPr>
              <w:spacing w:after="200" w:before="24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line="240" w:lineRule="auto"/>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DOCUMENTOS DE REFERENCIA:</w:t>
            </w:r>
          </w:p>
          <w:p w:rsidR="00000000" w:rsidDel="00000000" w:rsidP="00000000" w:rsidRDefault="00000000" w:rsidRPr="00000000" w14:paraId="00000014">
            <w:pPr>
              <w:numPr>
                <w:ilvl w:val="0"/>
                <w:numId w:val="1"/>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17043:2023</w:t>
            </w: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13528:2022</w:t>
            </w:r>
            <w:r w:rsidDel="00000000" w:rsidR="00000000" w:rsidRPr="00000000">
              <w:rPr>
                <w:rtl w:val="0"/>
              </w:rPr>
            </w:r>
          </w:p>
          <w:p w:rsidR="00000000" w:rsidDel="00000000" w:rsidP="00000000" w:rsidRDefault="00000000" w:rsidRPr="00000000" w14:paraId="00000016">
            <w:pPr>
              <w:numPr>
                <w:ilvl w:val="0"/>
                <w:numId w:val="1"/>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P-PSEA-01 Protocolo General De Ensayo De Aptitud Para Gases Contaminantes Criterio</w:t>
            </w: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P-PSEA-06 Procedimiento de Elaboración de Informe de Resultados</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CONDICIONES GENERALES:</w:t>
            </w:r>
            <w:r w:rsidDel="00000000" w:rsidR="00000000" w:rsidRPr="00000000">
              <w:rPr>
                <w:rtl w:val="0"/>
              </w:rPr>
            </w:r>
          </w:p>
        </w:tc>
      </w:tr>
    </w:tbl>
    <w:p w:rsidR="00000000" w:rsidDel="00000000" w:rsidP="00000000" w:rsidRDefault="00000000" w:rsidRPr="00000000" w14:paraId="00000019">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2"/>
        <w:tblW w:w="14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A">
            <w:pPr>
              <w:keepNext w:val="1"/>
              <w:keepLines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B">
            <w:pPr>
              <w:tabs>
                <w:tab w:val="left" w:leader="none" w:pos="426"/>
              </w:tabs>
              <w:spacing w:after="0" w:before="0" w:line="24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C">
            <w:pPr>
              <w:pStyle w:val="Heading1"/>
              <w:keepNext w:val="0"/>
              <w:keepLines w:val="0"/>
              <w:widowControl w:val="0"/>
              <w:numPr>
                <w:ilvl w:val="1"/>
                <w:numId w:val="2"/>
              </w:numPr>
              <w:spacing w:after="0" w:before="0" w:line="240" w:lineRule="auto"/>
              <w:ind w:left="792" w:hanging="432"/>
              <w:rPr>
                <w:rFonts w:ascii="Arial" w:cs="Arial" w:eastAsia="Arial" w:hAnsi="Arial"/>
                <w:color w:val="1b1c1d"/>
                <w:sz w:val="22"/>
                <w:szCs w:val="22"/>
              </w:rPr>
            </w:pPr>
            <w:bookmarkStart w:colFirst="0" w:colLast="0" w:name="_heading=h.wb1ctethuqpa" w:id="0"/>
            <w:bookmarkEnd w:id="0"/>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1D">
            <w:pPr>
              <w:spacing w:line="240" w:lineRule="auto"/>
              <w:ind w:left="792" w:firstLine="0"/>
              <w:rPr/>
            </w:pPr>
            <w:r w:rsidDel="00000000" w:rsidR="00000000" w:rsidRPr="00000000">
              <w:rPr>
                <w:rtl w:val="0"/>
              </w:rPr>
            </w:r>
          </w:p>
          <w:p w:rsidR="00000000" w:rsidDel="00000000" w:rsidP="00000000" w:rsidRDefault="00000000" w:rsidRPr="00000000" w14:paraId="0000001E">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9te01vemjvx8" w:id="1"/>
            <w:bookmarkEnd w:id="1"/>
            <w:r w:rsidDel="00000000" w:rsidR="00000000" w:rsidRPr="00000000">
              <w:rPr>
                <w:rFonts w:ascii="Arial" w:cs="Arial" w:eastAsia="Arial" w:hAnsi="Arial"/>
                <w:color w:val="1b1c1d"/>
                <w:sz w:val="22"/>
                <w:szCs w:val="22"/>
                <w:rtl w:val="0"/>
              </w:rPr>
              <w:t xml:space="preserve">Ítem de Ensayo de Aptitud</w:t>
            </w:r>
          </w:p>
          <w:p w:rsidR="00000000" w:rsidDel="00000000" w:rsidP="00000000" w:rsidRDefault="00000000" w:rsidRPr="00000000" w14:paraId="0000001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w:t>
            </w:r>
            <w:r w:rsidDel="00000000" w:rsidR="00000000" w:rsidRPr="00000000">
              <w:rPr>
                <w:rFonts w:ascii="Arial" w:cs="Arial" w:eastAsia="Arial" w:hAnsi="Arial"/>
                <w:sz w:val="22"/>
                <w:szCs w:val="22"/>
                <w:rtl w:val="0"/>
              </w:rPr>
              <w:t xml:space="preserve">SO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b1c1d"/>
                <w:sz w:val="22"/>
                <w:szCs w:val="22"/>
                <w:rtl w:val="0"/>
              </w:rPr>
              <w:t xml:space="preserve">en aire cero, elaboradas dinámicamente mediante el uso del calibrador dinámico. El gas es suministrado a través de un manifold de distribución para asegurar la inercia del material y la homogeneidad de la muestra.</w:t>
            </w:r>
          </w:p>
          <w:p w:rsidR="00000000" w:rsidDel="00000000" w:rsidP="00000000" w:rsidRDefault="00000000" w:rsidRPr="00000000" w14:paraId="0000002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1">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vqlreetlxmzf" w:id="2"/>
            <w:bookmarkEnd w:id="2"/>
            <w:r w:rsidDel="00000000" w:rsidR="00000000" w:rsidRPr="00000000">
              <w:rPr>
                <w:rFonts w:ascii="Arial" w:cs="Arial" w:eastAsia="Arial" w:hAnsi="Arial"/>
                <w:color w:val="1b1c1d"/>
                <w:sz w:val="22"/>
                <w:szCs w:val="22"/>
                <w:rtl w:val="0"/>
              </w:rPr>
              <w:t xml:space="preserve">Generación de los Niveles de Concentración de Ensayo</w:t>
            </w:r>
          </w:p>
          <w:p w:rsidR="00000000" w:rsidDel="00000000" w:rsidP="00000000" w:rsidRDefault="00000000" w:rsidRPr="00000000" w14:paraId="0000002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Basado en el análisis de datos históricos y los umbrales regulatorios de calidad del aire, se han establecido cinco niveles de concentración nominal para el ensayo. Estos niveles cubren el rango de medición crítico para el SO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La concentración nominal se refiere a la concentración fijada en el calibrador dinámico.</w:t>
            </w:r>
          </w:p>
          <w:p w:rsidR="00000000" w:rsidDel="00000000" w:rsidP="00000000" w:rsidRDefault="00000000" w:rsidRPr="00000000" w14:paraId="00000023">
            <w:pPr>
              <w:widowControl w:val="0"/>
              <w:spacing w:after="24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4">
            <w:pPr>
              <w:widowControl w:val="0"/>
              <w:spacing w:after="240" w:line="240" w:lineRule="auto"/>
              <w:rPr>
                <w:rFonts w:ascii="Arial" w:cs="Arial" w:eastAsia="Arial" w:hAnsi="Arial"/>
                <w:color w:val="1b1c1d"/>
                <w:sz w:val="22"/>
                <w:szCs w:val="22"/>
                <w:vertAlign w:val="subscript"/>
              </w:rPr>
            </w:pPr>
            <w:r w:rsidDel="00000000" w:rsidR="00000000" w:rsidRPr="00000000">
              <w:rPr>
                <w:rFonts w:ascii="Arial" w:cs="Arial" w:eastAsia="Arial" w:hAnsi="Arial"/>
                <w:b w:val="1"/>
                <w:color w:val="1b1c1d"/>
                <w:sz w:val="22"/>
                <w:szCs w:val="22"/>
                <w:rtl w:val="0"/>
              </w:rPr>
              <w:t xml:space="preserve">Concentraciones de SO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tl w:val="0"/>
              </w:rPr>
            </w:r>
          </w:p>
          <w:sdt>
            <w:sdtPr>
              <w:lock w:val="contentLocked"/>
              <w:id w:val="1060250871"/>
              <w:tag w:val="goog_rdk_0"/>
            </w:sdtPr>
            <w:sdtContent>
              <w:tbl>
                <w:tblPr>
                  <w:tblStyle w:val="Table3"/>
                  <w:tblW w:w="14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75"/>
                  <w:gridCol w:w="3543.75"/>
                  <w:gridCol w:w="3543.75"/>
                  <w:gridCol w:w="3543.75"/>
                  <w:tblGridChange w:id="0">
                    <w:tblGrid>
                      <w:gridCol w:w="3543.75"/>
                      <w:gridCol w:w="3543.75"/>
                      <w:gridCol w:w="3543.75"/>
                      <w:gridCol w:w="3543.75"/>
                    </w:tblGrid>
                  </w:tblGridChange>
                </w:tblGrid>
                <w:tr>
                  <w:trPr>
                    <w:cantSplit w:val="0"/>
                    <w:trHeight w:val="165" w:hRule="atLeast"/>
                    <w:tblHeader w:val="0"/>
                  </w:trPr>
                  <w:tc>
                    <w:tcPr>
                      <w:gridSpan w:val="4"/>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rFonts w:ascii="Arial" w:cs="Arial" w:eastAsia="Arial" w:hAnsi="Arial"/>
                          <w:b w:val="1"/>
                          <w:color w:val="1b1c1d"/>
                          <w:sz w:val="22"/>
                          <w:szCs w:val="22"/>
                          <w:vertAlign w:val="subscript"/>
                        </w:rPr>
                      </w:pPr>
                      <w:r w:rsidDel="00000000" w:rsidR="00000000" w:rsidRPr="00000000">
                        <w:rPr>
                          <w:rFonts w:ascii="Arial" w:cs="Arial" w:eastAsia="Arial" w:hAnsi="Arial"/>
                          <w:b w:val="1"/>
                          <w:color w:val="1b1c1d"/>
                          <w:sz w:val="22"/>
                          <w:szCs w:val="22"/>
                          <w:rtl w:val="0"/>
                        </w:rPr>
                        <w:t xml:space="preserve">Tabla 1. Concentraciones referencia para SO</w:t>
                      </w:r>
                      <w:r w:rsidDel="00000000" w:rsidR="00000000" w:rsidRPr="00000000">
                        <w:rPr>
                          <w:rFonts w:ascii="Arial" w:cs="Arial" w:eastAsia="Arial" w:hAnsi="Arial"/>
                          <w:b w:val="1"/>
                          <w:color w:val="1b1c1d"/>
                          <w:sz w:val="22"/>
                          <w:szCs w:val="22"/>
                          <w:vertAlign w:val="subscript"/>
                          <w:rtl w:val="0"/>
                        </w:rPr>
                        <w:t xml:space="preserve">2</w:t>
                      </w:r>
                    </w:p>
                  </w:tc>
                </w:tr>
                <w:tr>
                  <w:trPr>
                    <w:cantSplit w:val="0"/>
                    <w:trHeight w:val="1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Arial" w:cs="Arial" w:eastAsia="Arial" w:hAnsi="Arial"/>
                          <w:sz w:val="22"/>
                          <w:szCs w:val="22"/>
                          <w:vertAlign w:val="subscript"/>
                        </w:rPr>
                      </w:pPr>
                      <w:r w:rsidDel="00000000" w:rsidR="00000000" w:rsidRPr="00000000">
                        <w:rPr>
                          <w:rFonts w:ascii="Arial" w:cs="Arial" w:eastAsia="Arial" w:hAnsi="Arial"/>
                          <w:b w:val="1"/>
                          <w:color w:val="1b1c1d"/>
                          <w:sz w:val="22"/>
                          <w:szCs w:val="22"/>
                          <w:rtl w:val="0"/>
                        </w:rPr>
                        <w:t xml:space="preserve">Concentración Nominal SO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sdtContent>
          </w:sdt>
          <w:p w:rsidR="00000000" w:rsidDel="00000000" w:rsidP="00000000" w:rsidRDefault="00000000" w:rsidRPr="00000000" w14:paraId="00000041">
            <w:pPr>
              <w:widowControl w:val="0"/>
              <w:spacing w:after="240" w:before="0" w:line="240" w:lineRule="auto"/>
              <w:rPr>
                <w:rFonts w:ascii="Arial" w:cs="Arial" w:eastAsia="Arial" w:hAnsi="Arial"/>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 expresadas en ppm</w:t>
            </w:r>
            <w:r w:rsidDel="00000000" w:rsidR="00000000" w:rsidRPr="00000000">
              <w:rPr>
                <w:rtl w:val="0"/>
              </w:rPr>
            </w:r>
          </w:p>
          <w:p w:rsidR="00000000" w:rsidDel="00000000" w:rsidP="00000000" w:rsidRDefault="00000000" w:rsidRPr="00000000" w14:paraId="00000042">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43">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19vp4w9qxfhg" w:id="3"/>
            <w:bookmarkEnd w:id="3"/>
            <w:r w:rsidDel="00000000" w:rsidR="00000000" w:rsidRPr="00000000">
              <w:rPr>
                <w:rFonts w:ascii="Arial" w:cs="Arial" w:eastAsia="Arial" w:hAnsi="Arial"/>
                <w:color w:val="1b1c1d"/>
                <w:sz w:val="22"/>
                <w:szCs w:val="22"/>
                <w:rtl w:val="0"/>
              </w:rPr>
              <w:t xml:space="preserve">Evaluación de Homogeneidad y Estabilidad del Item de Ensayo</w:t>
            </w:r>
          </w:p>
          <w:p w:rsidR="00000000" w:rsidDel="00000000" w:rsidP="00000000" w:rsidRDefault="00000000" w:rsidRPr="00000000" w14:paraId="00000044">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b w:val="0"/>
                <w:i w:val="0"/>
                <w:smallCaps w:val="0"/>
                <w:strike w:val="0"/>
                <w:color w:val="1b1c1d"/>
                <w:sz w:val="22"/>
                <w:szCs w:val="22"/>
                <w:u w:val="none"/>
                <w:shd w:fill="auto" w:val="clear"/>
                <w:vertAlign w:val="baseline"/>
                <w:rtl w:val="0"/>
              </w:rPr>
              <w:t xml:space="preserve">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Las mezclas de prueba se preparan mediante dilución de gas de cilindros con alta concentración, utilizando controladores de flujo másico,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r w:rsidDel="00000000" w:rsidR="00000000" w:rsidRPr="00000000">
              <w:rPr>
                <w:rtl w:val="0"/>
              </w:rPr>
            </w:r>
          </w:p>
          <w:p w:rsidR="00000000" w:rsidDel="00000000" w:rsidP="00000000" w:rsidRDefault="00000000" w:rsidRPr="00000000" w14:paraId="00000046">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7">
            <w:pPr>
              <w:pStyle w:val="Heading1"/>
              <w:keepNext w:val="0"/>
              <w:keepLines w:val="0"/>
              <w:widowControl w:val="0"/>
              <w:numPr>
                <w:ilvl w:val="1"/>
                <w:numId w:val="2"/>
              </w:numPr>
              <w:spacing w:after="0" w:before="0" w:line="240" w:lineRule="auto"/>
              <w:ind w:left="792" w:hanging="432"/>
              <w:rPr>
                <w:rFonts w:ascii="Arial" w:cs="Arial" w:eastAsia="Arial" w:hAnsi="Arial"/>
                <w:color w:val="1b1c1d"/>
                <w:sz w:val="22"/>
                <w:szCs w:val="22"/>
              </w:rPr>
            </w:pPr>
            <w:bookmarkStart w:colFirst="0" w:colLast="0" w:name="_heading=h.x9a9be8xynay" w:id="4"/>
            <w:bookmarkEnd w:id="4"/>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b1c1d"/>
                <w:sz w:val="22"/>
                <w:szCs w:val="22"/>
                <w:u w:val="none"/>
                <w:shd w:fill="auto" w:val="clear"/>
                <w:vertAlign w:val="baseline"/>
              </w:rPr>
            </w:pPr>
            <w:r w:rsidDel="00000000" w:rsidR="00000000" w:rsidRPr="00000000">
              <w:rPr>
                <w:rFonts w:ascii="Arial" w:cs="Arial" w:eastAsia="Arial" w:hAnsi="Arial"/>
                <w:b w:val="0"/>
                <w:i w:val="0"/>
                <w:smallCaps w:val="0"/>
                <w:strike w:val="0"/>
                <w:color w:val="1b1c1d"/>
                <w:sz w:val="22"/>
                <w:szCs w:val="22"/>
                <w:u w:val="none"/>
                <w:shd w:fill="auto" w:val="clear"/>
                <w:vertAlign w:val="baseline"/>
                <w:rtl w:val="0"/>
              </w:rPr>
              <w:t xml:space="preserve">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p>
          <w:p w:rsidR="00000000" w:rsidDel="00000000" w:rsidP="00000000" w:rsidRDefault="00000000" w:rsidRPr="00000000" w14:paraId="00000049">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A">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B">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r6nnzx90hpep" w:id="5"/>
            <w:bookmarkEnd w:id="5"/>
            <w:r w:rsidDel="00000000" w:rsidR="00000000" w:rsidRPr="00000000">
              <w:rPr>
                <w:rFonts w:ascii="Arial" w:cs="Arial" w:eastAsia="Arial" w:hAnsi="Arial"/>
                <w:color w:val="1b1c1d"/>
                <w:sz w:val="22"/>
                <w:szCs w:val="22"/>
                <w:rtl w:val="0"/>
              </w:rPr>
              <w:t xml:space="preserve">Detección de Valores Atípicos</w:t>
            </w:r>
          </w:p>
          <w:p w:rsidR="00000000" w:rsidDel="00000000" w:rsidP="00000000" w:rsidRDefault="00000000" w:rsidRPr="00000000" w14:paraId="0000004C">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w:t>
            </w:r>
          </w:p>
          <w:p w:rsidR="00000000" w:rsidDel="00000000" w:rsidP="00000000" w:rsidRDefault="00000000" w:rsidRPr="00000000" w14:paraId="0000004D">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E">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p>
          <w:p w:rsidR="00000000" w:rsidDel="00000000" w:rsidP="00000000" w:rsidRDefault="00000000" w:rsidRPr="00000000" w14:paraId="0000004F">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0">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zchgojkugnv6" w:id="6"/>
            <w:bookmarkEnd w:id="6"/>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51">
            <w:pPr>
              <w:pStyle w:val="Heading2"/>
              <w:keepNext w:val="0"/>
              <w:keepLines w:val="0"/>
              <w:widowControl w:val="0"/>
              <w:numPr>
                <w:ilvl w:val="3"/>
                <w:numId w:val="2"/>
              </w:numPr>
              <w:spacing w:after="0" w:before="0" w:line="240" w:lineRule="auto"/>
              <w:ind w:left="1728" w:hanging="647.9999999999998"/>
              <w:rPr>
                <w:rFonts w:ascii="Arial" w:cs="Arial" w:eastAsia="Arial" w:hAnsi="Arial"/>
                <w:color w:val="1b1c1d"/>
                <w:sz w:val="22"/>
                <w:szCs w:val="22"/>
              </w:rPr>
            </w:pPr>
            <w:bookmarkStart w:colFirst="0" w:colLast="0" w:name="_heading=h.6oh10q8rnzt9" w:id="7"/>
            <w:bookmarkEnd w:id="7"/>
            <w:r w:rsidDel="00000000" w:rsidR="00000000" w:rsidRPr="00000000">
              <w:rPr>
                <w:rFonts w:ascii="Arial" w:cs="Arial" w:eastAsia="Arial" w:hAnsi="Arial"/>
                <w:color w:val="1b1c1d"/>
                <w:sz w:val="22"/>
                <w:szCs w:val="22"/>
                <w:rtl w:val="0"/>
              </w:rPr>
              <w:t xml:space="preserve">Determinación del Valor Asignado (xpt​)</w:t>
            </w:r>
          </w:p>
          <w:p w:rsidR="00000000" w:rsidDel="00000000" w:rsidP="00000000" w:rsidRDefault="00000000" w:rsidRPr="00000000" w14:paraId="0000005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 </w:t>
            </w:r>
          </w:p>
          <w:p w:rsidR="00000000" w:rsidDel="00000000" w:rsidP="00000000" w:rsidRDefault="00000000" w:rsidRPr="00000000" w14:paraId="00000053">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4">
            <w:pPr>
              <w:pStyle w:val="Heading2"/>
              <w:keepNext w:val="0"/>
              <w:keepLines w:val="0"/>
              <w:widowControl w:val="0"/>
              <w:numPr>
                <w:ilvl w:val="3"/>
                <w:numId w:val="2"/>
              </w:numPr>
              <w:spacing w:after="0" w:before="0" w:line="240" w:lineRule="auto"/>
              <w:ind w:left="1728" w:hanging="647.9999999999998"/>
              <w:rPr>
                <w:rFonts w:ascii="Arial" w:cs="Arial" w:eastAsia="Arial" w:hAnsi="Arial"/>
                <w:color w:val="1b1c1d"/>
                <w:sz w:val="22"/>
                <w:szCs w:val="22"/>
              </w:rPr>
            </w:pPr>
            <w:bookmarkStart w:colFirst="0" w:colLast="0" w:name="_heading=h.lapx203eh5rw" w:id="8"/>
            <w:bookmarkEnd w:id="8"/>
            <w:r w:rsidDel="00000000" w:rsidR="00000000" w:rsidRPr="00000000">
              <w:rPr>
                <w:rFonts w:ascii="Arial" w:cs="Arial" w:eastAsia="Arial" w:hAnsi="Arial"/>
                <w:color w:val="1b1c1d"/>
                <w:sz w:val="22"/>
                <w:szCs w:val="22"/>
                <w:rtl w:val="0"/>
              </w:rPr>
              <w:t xml:space="preserve">Estimación de la Incertidumbre del Valor Asignado (Uxpt​)</w:t>
            </w:r>
          </w:p>
          <w:p w:rsidR="00000000" w:rsidDel="00000000" w:rsidP="00000000" w:rsidRDefault="00000000" w:rsidRPr="00000000" w14:paraId="00000055">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calidad del valor asignado (xpt) se define por su incertidumbre expandida asociada (U(xpt)). La evaluación sigue los principios de la Guía para la Expresión de la Incertidumbre en la Medición (GUM). La incertidumbre estándar del valor asignado, u(xpt), se calcula combinando la incertidumbre del valor de referencia del instrumento (uref) y la incertidumbre debida a la falta de homogeneidad (uhom).</w:t>
            </w:r>
          </w:p>
          <w:p w:rsidR="00000000" w:rsidDel="00000000" w:rsidP="00000000" w:rsidRDefault="00000000" w:rsidRPr="00000000" w14:paraId="00000056">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711973565"/>
              <w:tag w:val="goog_rdk_1"/>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uX​=uref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1</w:t>
                      </w:r>
                    </w:p>
                  </w:tc>
                </w:tr>
              </w:tbl>
            </w:sdtContent>
          </w:sdt>
          <w:p w:rsidR="00000000" w:rsidDel="00000000" w:rsidP="00000000" w:rsidRDefault="00000000" w:rsidRPr="00000000" w14:paraId="00000059">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A">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expandida se calcula luego usando un factor de cobertura de k=2 (para un nivel de confianza de ~95%):</w:t>
            </w:r>
          </w:p>
          <w:sdt>
            <w:sdtPr>
              <w:lock w:val="contentLocked"/>
              <w:id w:val="359598810"/>
              <w:tag w:val="goog_rdk_3"/>
            </w:sdtPr>
            <w:sdtContent>
              <w:tbl>
                <w:tblPr>
                  <w:tblStyle w:val="Table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Arial" w:cs="Arial" w:eastAsia="Arial" w:hAnsi="Arial"/>
                          <w:color w:val="1b1c1d"/>
                          <w:sz w:val="22"/>
                          <w:szCs w:val="22"/>
                        </w:rPr>
                      </w:pPr>
                      <w:sdt>
                        <w:sdtPr>
                          <w:id w:val="767187751"/>
                          <w:tag w:val="goog_rdk_2"/>
                        </w:sdtPr>
                        <w:sdtContent>
                          <w:r w:rsidDel="00000000" w:rsidR="00000000" w:rsidRPr="00000000">
                            <w:rPr>
                              <w:rFonts w:ascii="Arial Unicode MS" w:cs="Arial Unicode MS" w:eastAsia="Arial Unicode MS" w:hAnsi="Arial Unicode MS"/>
                              <w:color w:val="1b1c1d"/>
                              <w:sz w:val="22"/>
                              <w:szCs w:val="22"/>
                              <w:rtl w:val="0"/>
                            </w:rPr>
                            <w:t xml:space="preserve">UX​=2⋅uX​</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2</w:t>
                      </w:r>
                    </w:p>
                  </w:tc>
                </w:tr>
              </w:tbl>
            </w:sdtContent>
          </w:sdt>
          <w:p w:rsidR="00000000" w:rsidDel="00000000" w:rsidP="00000000" w:rsidRDefault="00000000" w:rsidRPr="00000000" w14:paraId="0000005D">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E">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del instrumento de referencia, uref​, es una composición de varias fuentes de incertidumbre individuales, que se combinan en cuadratura:</w:t>
            </w:r>
          </w:p>
          <w:sdt>
            <w:sdtPr>
              <w:lock w:val="contentLocked"/>
              <w:id w:val="-196590627"/>
              <w:tag w:val="goog_rdk_4"/>
            </w:sdtPr>
            <w:sdtContent>
              <w:tbl>
                <w:tblPr>
                  <w:tblStyle w:val="Table6"/>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Arial" w:cs="Arial" w:eastAsia="Arial" w:hAnsi="Arial"/>
                          <w:color w:val="1b1c1d"/>
                          <w:sz w:val="22"/>
                          <w:szCs w:val="22"/>
                          <w:vertAlign w:val="superscript"/>
                        </w:rPr>
                      </w:pPr>
                      <w:r w:rsidDel="00000000" w:rsidR="00000000" w:rsidRPr="00000000">
                        <w:rPr>
                          <w:rFonts w:ascii="Arial" w:cs="Arial" w:eastAsia="Arial" w:hAnsi="Arial"/>
                          <w:color w:val="1b1c1d"/>
                          <w:sz w:val="22"/>
                          <w:szCs w:val="22"/>
                          <w:rtl w:val="0"/>
                        </w:rPr>
                        <w:t xml:space="preserve">uref​=ucal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​+ur</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+ulof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​+ud2​+uEC</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+uinfl</w:t>
                      </w:r>
                      <w:r w:rsidDel="00000000" w:rsidR="00000000" w:rsidRPr="00000000">
                        <w:rPr>
                          <w:rFonts w:ascii="Arial" w:cs="Arial" w:eastAsia="Arial" w:hAnsi="Arial"/>
                          <w:color w:val="1b1c1d"/>
                          <w:sz w:val="22"/>
                          <w:szCs w:val="22"/>
                          <w:vertAlign w:val="superscript"/>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3</w:t>
                      </w:r>
                    </w:p>
                  </w:tc>
                </w:tr>
              </w:tbl>
            </w:sdtContent>
          </w:sdt>
          <w:p w:rsidR="00000000" w:rsidDel="00000000" w:rsidP="00000000" w:rsidRDefault="00000000" w:rsidRPr="00000000" w14:paraId="00000061">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2">
            <w:pPr>
              <w:widowControl w:val="0"/>
              <w:spacing w:after="12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63">
            <w:pPr>
              <w:widowControl w:val="0"/>
              <w:numPr>
                <w:ilvl w:val="0"/>
                <w:numId w:val="4"/>
              </w:numPr>
              <w:spacing w:after="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ucal</w:t>
            </w:r>
            <w:r w:rsidDel="00000000" w:rsidR="00000000" w:rsidRPr="00000000">
              <w:rPr>
                <w:rFonts w:ascii="Arial" w:cs="Arial" w:eastAsia="Arial" w:hAnsi="Arial"/>
                <w:color w:val="1b1c1d"/>
                <w:sz w:val="22"/>
                <w:szCs w:val="22"/>
                <w:rtl w:val="0"/>
              </w:rPr>
              <w:t xml:space="preserve">: Incertidumbre del gas de calibración y del sistema de dilución.</w:t>
            </w:r>
            <w:r w:rsidDel="00000000" w:rsidR="00000000" w:rsidRPr="00000000">
              <w:rPr>
                <w:rtl w:val="0"/>
              </w:rPr>
            </w:r>
          </w:p>
          <w:p w:rsidR="00000000" w:rsidDel="00000000" w:rsidP="00000000" w:rsidRDefault="00000000" w:rsidRPr="00000000" w14:paraId="00000064">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ur</w:t>
            </w:r>
            <w:r w:rsidDel="00000000" w:rsidR="00000000" w:rsidRPr="00000000">
              <w:rPr>
                <w:rFonts w:ascii="Arial" w:cs="Arial" w:eastAsia="Arial" w:hAnsi="Arial"/>
                <w:color w:val="1b1c1d"/>
                <w:sz w:val="22"/>
                <w:szCs w:val="22"/>
                <w:rtl w:val="0"/>
              </w:rPr>
              <w:t xml:space="preserve">: Incertidumbre por repetibilidad a corto plazo (ruido del instrumento).</w:t>
            </w:r>
            <w:r w:rsidDel="00000000" w:rsidR="00000000" w:rsidRPr="00000000">
              <w:rPr>
                <w:rtl w:val="0"/>
              </w:rPr>
            </w:r>
          </w:p>
          <w:p w:rsidR="00000000" w:rsidDel="00000000" w:rsidP="00000000" w:rsidRDefault="00000000" w:rsidRPr="00000000" w14:paraId="00000065">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ulof</w:t>
            </w:r>
            <w:r w:rsidDel="00000000" w:rsidR="00000000" w:rsidRPr="00000000">
              <w:rPr>
                <w:rFonts w:ascii="Arial" w:cs="Arial" w:eastAsia="Arial" w:hAnsi="Arial"/>
                <w:color w:val="1b1c1d"/>
                <w:sz w:val="22"/>
                <w:szCs w:val="22"/>
                <w:rtl w:val="0"/>
              </w:rPr>
              <w:t xml:space="preserve">: Incertidumbre por falta de ajuste (no linealidad).</w:t>
            </w:r>
            <w:r w:rsidDel="00000000" w:rsidR="00000000" w:rsidRPr="00000000">
              <w:rPr>
                <w:rtl w:val="0"/>
              </w:rPr>
            </w:r>
          </w:p>
          <w:p w:rsidR="00000000" w:rsidDel="00000000" w:rsidP="00000000" w:rsidRDefault="00000000" w:rsidRPr="00000000" w14:paraId="00000066">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ud</w:t>
            </w:r>
            <w:r w:rsidDel="00000000" w:rsidR="00000000" w:rsidRPr="00000000">
              <w:rPr>
                <w:rFonts w:ascii="Arial" w:cs="Arial" w:eastAsia="Arial" w:hAnsi="Arial"/>
                <w:color w:val="1b1c1d"/>
                <w:sz w:val="22"/>
                <w:szCs w:val="22"/>
                <w:rtl w:val="0"/>
              </w:rPr>
              <w:t xml:space="preserve">: Incertidumbre por deriva a largo plazo entre calibraciones.</w:t>
            </w:r>
            <w:r w:rsidDel="00000000" w:rsidR="00000000" w:rsidRPr="00000000">
              <w:rPr>
                <w:rtl w:val="0"/>
              </w:rPr>
            </w:r>
          </w:p>
          <w:p w:rsidR="00000000" w:rsidDel="00000000" w:rsidP="00000000" w:rsidRDefault="00000000" w:rsidRPr="00000000" w14:paraId="00000067">
            <w:pPr>
              <w:widowControl w:val="0"/>
              <w:numPr>
                <w:ilvl w:val="0"/>
                <w:numId w:val="4"/>
              </w:numPr>
              <w:spacing w:after="12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uinfl</w:t>
            </w:r>
            <w:r w:rsidDel="00000000" w:rsidR="00000000" w:rsidRPr="00000000">
              <w:rPr>
                <w:rFonts w:ascii="Arial" w:cs="Arial" w:eastAsia="Arial" w:hAnsi="Arial"/>
                <w:color w:val="1b1c1d"/>
                <w:sz w:val="22"/>
                <w:szCs w:val="22"/>
                <w:rtl w:val="0"/>
              </w:rPr>
              <w:t xml:space="preserve">: Incertidumbre por influencias ambientales (temperatura, presión).</w:t>
            </w:r>
            <w:r w:rsidDel="00000000" w:rsidR="00000000" w:rsidRPr="00000000">
              <w:rPr>
                <w:rtl w:val="0"/>
              </w:rPr>
            </w:r>
          </w:p>
          <w:p w:rsidR="00000000" w:rsidDel="00000000" w:rsidP="00000000" w:rsidRDefault="00000000" w:rsidRPr="00000000" w14:paraId="00000068">
            <w:pPr>
              <w:widowControl w:val="0"/>
              <w:spacing w:after="240" w:line="240" w:lineRule="auto"/>
              <w:rPr>
                <w:rFonts w:ascii="Arial" w:cs="Arial" w:eastAsia="Arial" w:hAnsi="Arial"/>
                <w:color w:val="1b1c1d"/>
                <w:sz w:val="22"/>
                <w:szCs w:val="22"/>
              </w:rPr>
            </w:pPr>
            <w:r w:rsidDel="00000000" w:rsidR="00000000" w:rsidRPr="00000000">
              <w:rPr>
                <w:rtl w:val="0"/>
              </w:rPr>
            </w:r>
          </w:p>
          <w:sdt>
            <w:sdtPr>
              <w:lock w:val="contentLocked"/>
              <w:id w:val="722722444"/>
              <w:tag w:val="goog_rdk_5"/>
            </w:sdtPr>
            <w:sdtContent>
              <w:tbl>
                <w:tblPr>
                  <w:tblStyle w:val="Table7"/>
                  <w:tblW w:w="141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32.5"/>
                  <w:gridCol w:w="3532.5"/>
                  <w:gridCol w:w="3532.5"/>
                  <w:gridCol w:w="3532.5"/>
                  <w:tblGridChange w:id="0">
                    <w:tblGrid>
                      <w:gridCol w:w="3532.5"/>
                      <w:gridCol w:w="3532.5"/>
                      <w:gridCol w:w="3532.5"/>
                      <w:gridCol w:w="3532.5"/>
                    </w:tblGrid>
                  </w:tblGridChange>
                </w:tblGrid>
                <w:tr>
                  <w:trPr>
                    <w:cantSplit w:val="0"/>
                    <w:trHeight w:val="440" w:hRule="atLeast"/>
                    <w:tblHeader w:val="0"/>
                  </w:trPr>
                  <w:tc>
                    <w:tcPr>
                      <w:gridSpan w:val="4"/>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2. Resumen de componentes para la estimación de la incertidumbre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Componente de Incertidumbre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Datos Específicos a Recolectar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Frecuencia de Recolección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Fuente del Procedimiento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1. Trazabilidad del Patrón de Calibración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Del certificado del cilindro de gas primario de SO:  • ID del Cilindro  • Concentración Certificada  • Incertidumbre Expandida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(al recibir un nuevo cilindro)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USEPA 40 CFR Part 50, App. 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2. Linealidad (Falta de Ajuste)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promedio del analizador para al menos 5 concentraciones que cubran el rango de trabajo (incluyendo cero).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o después de un mantenimiento mayor.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14211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3. Repetibilidad (Ruido a Corto Plazo)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serie de 20 lecturas consecutivas e independientes del analizador a una concentración estable y conocida.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 cada ensayo de aptitud.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14211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4. Estabilidad (Deriva a Largo Plazo)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cero y de un gas de span conocido.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Previo al 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EPA QA Handbook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5. Influencias Ambientales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Temperatura y presión barométrica máximas y mínimas registradas en el laboratorio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Continuamente durante el ensayo de aptitud.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Mejor Práctica de Laboratorio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6. Homogeneidad del Gas de Ensayo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concentración del gas de ensayo tomadas desde al menos 3 puertos diferentes del colector de distribución.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del inicio del ensayo de aptitud.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Protocolo AQUILA / ISO 13528</w:t>
                      </w:r>
                    </w:p>
                  </w:tc>
                </w:tr>
              </w:tbl>
            </w:sdtContent>
          </w:sdt>
          <w:p w:rsidR="00000000" w:rsidDel="00000000" w:rsidP="00000000" w:rsidRDefault="00000000" w:rsidRPr="00000000" w14:paraId="00000089">
            <w:pPr>
              <w:widowControl w:val="0"/>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8A">
            <w:pPr>
              <w:pStyle w:val="Heading2"/>
              <w:keepNext w:val="0"/>
              <w:keepLines w:val="0"/>
              <w:widowControl w:val="0"/>
              <w:numPr>
                <w:ilvl w:val="3"/>
                <w:numId w:val="2"/>
              </w:numPr>
              <w:spacing w:after="0" w:before="0" w:line="240" w:lineRule="auto"/>
              <w:ind w:left="1728" w:hanging="647.9999999999998"/>
              <w:rPr>
                <w:rFonts w:ascii="Arial" w:cs="Arial" w:eastAsia="Arial" w:hAnsi="Arial"/>
                <w:color w:val="1b1c1d"/>
                <w:sz w:val="22"/>
                <w:szCs w:val="22"/>
              </w:rPr>
            </w:pPr>
            <w:bookmarkStart w:colFirst="0" w:colLast="0" w:name="_heading=h.ve19poht5bi" w:id="9"/>
            <w:bookmarkEnd w:id="9"/>
            <w:r w:rsidDel="00000000" w:rsidR="00000000" w:rsidRPr="00000000">
              <w:rPr>
                <w:rFonts w:ascii="Arial" w:cs="Arial" w:eastAsia="Arial" w:hAnsi="Arial"/>
                <w:color w:val="1b1c1d"/>
                <w:sz w:val="22"/>
                <w:szCs w:val="22"/>
                <w:rtl w:val="0"/>
              </w:rPr>
              <w:t xml:space="preserve">Desviación Estándar para la Evaluación de la Aptitud (σpt)</w:t>
            </w:r>
          </w:p>
          <w:p w:rsidR="00000000" w:rsidDel="00000000" w:rsidP="00000000" w:rsidRDefault="00000000" w:rsidRPr="00000000" w14:paraId="0000008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rsidR="00000000" w:rsidDel="00000000" w:rsidP="00000000" w:rsidRDefault="00000000" w:rsidRPr="00000000" w14:paraId="0000008C">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8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estimación de se hace mediante la ecuación</w:t>
            </w:r>
          </w:p>
          <w:sdt>
            <w:sdtPr>
              <w:lock w:val="contentLocked"/>
              <w:id w:val="131196770"/>
              <w:tag w:val="goog_rdk_7"/>
            </w:sdtPr>
            <w:sdtContent>
              <w:tbl>
                <w:tblPr>
                  <w:tblStyle w:val="Table8"/>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before="0" w:line="240" w:lineRule="auto"/>
                        <w:rPr>
                          <w:rFonts w:ascii="Arial" w:cs="Arial" w:eastAsia="Arial" w:hAnsi="Arial"/>
                          <w:color w:val="1b1c1d"/>
                          <w:sz w:val="22"/>
                          <w:szCs w:val="22"/>
                        </w:rPr>
                      </w:pPr>
                      <w:sdt>
                        <w:sdtPr>
                          <w:id w:val="-333629834"/>
                          <w:tag w:val="goog_rdk_6"/>
                        </w:sdtPr>
                        <w:sdtContent>
                          <w:r w:rsidDel="00000000" w:rsidR="00000000" w:rsidRPr="00000000">
                            <w:rPr>
                              <w:rFonts w:ascii="Arial Unicode MS" w:cs="Arial Unicode MS" w:eastAsia="Arial Unicode MS" w:hAnsi="Arial Unicode MS"/>
                              <w:color w:val="1b1c1d"/>
                              <w:sz w:val="22"/>
                              <w:szCs w:val="22"/>
                              <w:rtl w:val="0"/>
                            </w:rPr>
                            <w:t xml:space="preserve">σpt​=(a⋅Xref​)+b</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4</w:t>
                      </w:r>
                    </w:p>
                  </w:tc>
                </w:tr>
              </w:tbl>
            </w:sdtContent>
          </w:sdt>
          <w:p w:rsidR="00000000" w:rsidDel="00000000" w:rsidP="00000000" w:rsidRDefault="00000000" w:rsidRPr="00000000" w14:paraId="0000009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9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σpt es la desviación estándar para la evaluación de la aptitud.</w:t>
            </w:r>
          </w:p>
          <w:p w:rsidR="00000000" w:rsidDel="00000000" w:rsidP="00000000" w:rsidRDefault="00000000" w:rsidRPr="00000000" w14:paraId="0000009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 es la pendiente.</w:t>
            </w:r>
          </w:p>
          <w:p w:rsidR="00000000" w:rsidDel="00000000" w:rsidP="00000000" w:rsidRDefault="00000000" w:rsidRPr="00000000" w14:paraId="0000009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Xref  es el valor de referencia o valor asignado.</w:t>
            </w:r>
          </w:p>
          <w:p w:rsidR="00000000" w:rsidDel="00000000" w:rsidP="00000000" w:rsidRDefault="00000000" w:rsidRPr="00000000" w14:paraId="0000009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es el intercepto</w:t>
            </w:r>
          </w:p>
          <w:p w:rsidR="00000000" w:rsidDel="00000000" w:rsidP="00000000" w:rsidRDefault="00000000" w:rsidRPr="00000000" w14:paraId="00000096">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7">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9"/>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20"/>
              <w:tblGridChange w:id="0">
                <w:tblGrid>
                  <w:gridCol w:w="2340"/>
                  <w:gridCol w:w="2340"/>
                  <w:gridCol w:w="4620"/>
                </w:tblGrid>
              </w:tblGridChange>
            </w:tblGrid>
            <w:tr>
              <w:trPr>
                <w:cantSplit w:val="0"/>
                <w:trHeight w:val="315" w:hRule="atLeast"/>
                <w:tblHeader w:val="0"/>
              </w:trPr>
              <w:tc>
                <w:tcPr>
                  <w:gridSpan w:val="3"/>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5. Parámetros tabulados para la determinación de la incertidumbre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before="0" w:line="240" w:lineRule="auto"/>
                    <w:rPr>
                      <w:rFonts w:ascii="Arial" w:cs="Arial" w:eastAsia="Arial" w:hAnsi="Arial"/>
                      <w:color w:val="1b1c1d"/>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Intercepto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(nmol/mol)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rFonts w:ascii="Arial" w:cs="Arial" w:eastAsia="Arial" w:hAnsi="Arial"/>
                      <w:color w:val="1b1c1d"/>
                      <w:sz w:val="22"/>
                      <w:szCs w:val="22"/>
                      <w:vertAlign w:val="subscript"/>
                    </w:rPr>
                  </w:pPr>
                  <w:r w:rsidDel="00000000" w:rsidR="00000000" w:rsidRPr="00000000">
                    <w:rPr>
                      <w:rFonts w:ascii="Arial" w:cs="Arial" w:eastAsia="Arial" w:hAnsi="Arial"/>
                      <w:color w:val="1b1c1d"/>
                      <w:sz w:val="22"/>
                      <w:szCs w:val="22"/>
                      <w:rtl w:val="0"/>
                    </w:rPr>
                    <w:t xml:space="preserve">SO</w:t>
                  </w:r>
                  <w:r w:rsidDel="00000000" w:rsidR="00000000" w:rsidRPr="00000000">
                    <w:rPr>
                      <w:rFonts w:ascii="Arial" w:cs="Arial" w:eastAsia="Arial" w:hAnsi="Arial"/>
                      <w:color w:val="1b1c1d"/>
                      <w:sz w:val="22"/>
                      <w:szCs w:val="22"/>
                      <w:vertAlign w:val="subscript"/>
                      <w:rtl w:val="0"/>
                    </w:rPr>
                    <w:t xml:space="preserve">2</w:t>
                  </w:r>
                </w:p>
              </w:tc>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0.022</w:t>
                  </w:r>
                </w:p>
              </w:tc>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w:t>
                  </w:r>
                </w:p>
              </w:tc>
            </w:tr>
          </w:tbl>
          <w:p w:rsidR="00000000" w:rsidDel="00000000" w:rsidP="00000000" w:rsidRDefault="00000000" w:rsidRPr="00000000" w14:paraId="000000A4">
            <w:pPr>
              <w:pStyle w:val="Heading2"/>
              <w:keepNext w:val="0"/>
              <w:keepLines w:val="0"/>
              <w:widowControl w:val="0"/>
              <w:spacing w:after="0" w:before="0" w:line="240" w:lineRule="auto"/>
              <w:rPr>
                <w:rFonts w:ascii="Arial" w:cs="Arial" w:eastAsia="Arial" w:hAnsi="Arial"/>
                <w:color w:val="1b1c1d"/>
                <w:sz w:val="22"/>
                <w:szCs w:val="22"/>
              </w:rPr>
            </w:pPr>
            <w:bookmarkStart w:colFirst="0" w:colLast="0" w:name="_heading=h.5d3mnus0gavw" w:id="10"/>
            <w:bookmarkEnd w:id="10"/>
            <w:r w:rsidDel="00000000" w:rsidR="00000000" w:rsidRPr="00000000">
              <w:rPr>
                <w:rtl w:val="0"/>
              </w:rPr>
            </w:r>
          </w:p>
          <w:p w:rsidR="00000000" w:rsidDel="00000000" w:rsidP="00000000" w:rsidRDefault="00000000" w:rsidRPr="00000000" w14:paraId="000000A5">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pStyle w:val="Heading2"/>
              <w:keepNext w:val="0"/>
              <w:keepLines w:val="0"/>
              <w:widowControl w:val="0"/>
              <w:numPr>
                <w:ilvl w:val="3"/>
                <w:numId w:val="2"/>
              </w:numPr>
              <w:spacing w:after="0" w:before="0" w:line="240" w:lineRule="auto"/>
              <w:ind w:left="1728" w:hanging="647.9999999999998"/>
              <w:rPr>
                <w:rFonts w:ascii="Arial" w:cs="Arial" w:eastAsia="Arial" w:hAnsi="Arial"/>
                <w:color w:val="1b1c1d"/>
                <w:sz w:val="22"/>
                <w:szCs w:val="22"/>
              </w:rPr>
            </w:pPr>
            <w:bookmarkStart w:colFirst="0" w:colLast="0" w:name="_heading=h.9l5cgbbbzpl0" w:id="11"/>
            <w:bookmarkEnd w:id="11"/>
            <w:r w:rsidDel="00000000" w:rsidR="00000000" w:rsidRPr="00000000">
              <w:rPr>
                <w:rFonts w:ascii="Arial" w:cs="Arial" w:eastAsia="Arial" w:hAnsi="Arial"/>
                <w:color w:val="1b1c1d"/>
                <w:sz w:val="22"/>
                <w:szCs w:val="22"/>
                <w:rtl w:val="0"/>
              </w:rPr>
              <w:t xml:space="preserve">Criterios de Desempeño y Parámetros de Evaluación Interna</w:t>
            </w:r>
          </w:p>
          <w:p w:rsidR="00000000" w:rsidDel="00000000" w:rsidP="00000000" w:rsidRDefault="00000000" w:rsidRPr="00000000" w14:paraId="000000A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se basa en el cálculo del </w:t>
            </w:r>
            <w:r w:rsidDel="00000000" w:rsidR="00000000" w:rsidRPr="00000000">
              <w:rPr>
                <w:rFonts w:ascii="Arial" w:cs="Arial" w:eastAsia="Arial" w:hAnsi="Arial"/>
                <w:i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sdt>
            <w:sdtPr>
              <w:lock w:val="contentLocked"/>
              <w:id w:val="1522145701"/>
              <w:tag w:val="goog_rdk_8"/>
            </w:sdtPr>
            <w:sdtContent>
              <w:tbl>
                <w:tblPr>
                  <w:tblStyle w:val="Table10"/>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304925" cy="790575"/>
                            <wp:effectExtent b="0" l="0" r="0" t="0"/>
                            <wp:docPr id="1044" name="image4.png"/>
                            <a:graphic>
                              <a:graphicData uri="http://schemas.openxmlformats.org/drawingml/2006/picture">
                                <pic:pic>
                                  <pic:nvPicPr>
                                    <pic:cNvPr id="0" name="image4.png"/>
                                    <pic:cNvPicPr preferRelativeResize="0"/>
                                  </pic:nvPicPr>
                                  <pic:blipFill>
                                    <a:blip r:embed="rId7"/>
                                    <a:srcRect b="0" l="0" r="60173" t="0"/>
                                    <a:stretch>
                                      <a:fillRect/>
                                    </a:stretch>
                                  </pic:blipFill>
                                  <pic:spPr>
                                    <a:xfrm>
                                      <a:off x="0" y="0"/>
                                      <a:ext cx="1304925" cy="790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838325" cy="847725"/>
                            <wp:effectExtent b="0" l="0" r="0" t="0"/>
                            <wp:docPr id="10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383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6</w:t>
                      </w:r>
                    </w:p>
                  </w:tc>
                </w:tr>
              </w:tbl>
            </w:sdtContent>
          </w:sdt>
          <w:p w:rsidR="00000000" w:rsidDel="00000000" w:rsidP="00000000" w:rsidRDefault="00000000" w:rsidRPr="00000000" w14:paraId="000000AC">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234897190"/>
              <w:tag w:val="goog_rdk_9"/>
            </w:sdtPr>
            <w:sdtContent>
              <w:tbl>
                <w:tblPr>
                  <w:tblStyle w:val="Table11"/>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2204122" cy="900113"/>
                            <wp:effectExtent b="0" l="0" r="0" t="0"/>
                            <wp:docPr id="10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7</w:t>
                      </w:r>
                    </w:p>
                  </w:tc>
                </w:tr>
              </w:tbl>
            </w:sdtContent>
          </w:sdt>
          <w:p w:rsidR="00000000" w:rsidDel="00000000" w:rsidP="00000000" w:rsidRDefault="00000000" w:rsidRPr="00000000" w14:paraId="000000A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tabla se resumen los criterios de aceptación de los indicadores de rendimiento</w:t>
            </w:r>
          </w:p>
          <w:p w:rsidR="00000000" w:rsidDel="00000000" w:rsidP="00000000" w:rsidRDefault="00000000" w:rsidRPr="00000000" w14:paraId="000000B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1">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2"/>
              <w:tblW w:w="14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115"/>
              <w:tblGridChange w:id="0">
                <w:tblGrid>
                  <w:gridCol w:w="1500"/>
                  <w:gridCol w:w="1500"/>
                  <w:gridCol w:w="11115"/>
                </w:tblGrid>
              </w:tblGridChange>
            </w:tblGrid>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before="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Tabla 2. Criterios de evaluación para los indicadores de desempeño del EA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Indicador de Rendimiento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z/z'-score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before="0" w:line="240" w:lineRule="auto"/>
                    <w:rPr>
                      <w:rFonts w:ascii="Arial" w:cs="Arial" w:eastAsia="Arial" w:hAnsi="Arial"/>
                      <w:sz w:val="22"/>
                      <w:szCs w:val="22"/>
                    </w:rPr>
                  </w:pPr>
                  <w:sdt>
                    <w:sdtPr>
                      <w:id w:val="-518570508"/>
                      <w:tag w:val="goog_rdk_10"/>
                    </w:sdtPr>
                    <w:sdtContent>
                      <w:r w:rsidDel="00000000" w:rsidR="00000000" w:rsidRPr="00000000">
                        <w:rPr>
                          <w:rFonts w:ascii="Arial Unicode MS" w:cs="Arial Unicode MS" w:eastAsia="Arial Unicode MS" w:hAnsi="Arial Unicode MS"/>
                          <w:sz w:val="22"/>
                          <w:szCs w:val="22"/>
                          <w:rtl w:val="0"/>
                        </w:rPr>
                        <w:t xml:space="preserve">|z/z'| ≤ 2</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Aproximadamente el 95% de los z-scores deberían caer entre -2 y +2.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&lt; |z/z'| &lt; 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cuestionable. Se espera que ocurran aproximadamente 1 de cada 20 veces. Estos valores merecen una revisión específica.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before="0" w:line="240" w:lineRule="auto"/>
                    <w:rPr>
                      <w:rFonts w:ascii="Arial" w:cs="Arial" w:eastAsia="Arial" w:hAnsi="Arial"/>
                      <w:sz w:val="22"/>
                      <w:szCs w:val="22"/>
                    </w:rPr>
                  </w:pPr>
                  <w:sdt>
                    <w:sdtPr>
                      <w:id w:val="-238879451"/>
                      <w:tag w:val="goog_rdk_11"/>
                    </w:sdtPr>
                    <w:sdtContent>
                      <w:r w:rsidDel="00000000" w:rsidR="00000000" w:rsidRPr="00000000">
                        <w:rPr>
                          <w:rFonts w:ascii="Arial Unicode MS" w:cs="Arial Unicode MS" w:eastAsia="Arial Unicode MS" w:hAnsi="Arial Unicode MS"/>
                          <w:sz w:val="22"/>
                          <w:szCs w:val="22"/>
                          <w:rtl w:val="0"/>
                        </w:rPr>
                        <w:t xml:space="preserve">|z/z'| ≥ 3</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 Los resultados en este rango son muy inusuales y se toman como evidencia de que ha ocurrido una anomalía que debe ser investigada y corregida.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 &lt; 1</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Los resultados son satisfactorios si las barras de error tocan o cruzan el eje x (o la línea roja que representa el valor de referencia en informes más recientes).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before="0" w:line="240" w:lineRule="auto"/>
                    <w:rPr>
                      <w:rFonts w:ascii="Arial" w:cs="Arial" w:eastAsia="Arial" w:hAnsi="Arial"/>
                      <w:sz w:val="22"/>
                      <w:szCs w:val="22"/>
                    </w:rPr>
                  </w:pPr>
                  <w:sdt>
                    <w:sdtPr>
                      <w:id w:val="2049663389"/>
                      <w:tag w:val="goog_rdk_12"/>
                    </w:sdtPr>
                    <w:sdtContent>
                      <w:r w:rsidDel="00000000" w:rsidR="00000000" w:rsidRPr="00000000">
                        <w:rPr>
                          <w:rFonts w:ascii="Arial Unicode MS" w:cs="Arial Unicode MS" w:eastAsia="Arial Unicode MS" w:hAnsi="Arial Unicode MS"/>
                          <w:sz w:val="22"/>
                          <w:szCs w:val="22"/>
                          <w:rtl w:val="0"/>
                        </w:rPr>
                        <w:t xml:space="preserve">|En-score| ≥ 1</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w:t>
                  </w:r>
                </w:p>
              </w:tc>
            </w:tr>
          </w:tbl>
          <w:p w:rsidR="00000000" w:rsidDel="00000000" w:rsidP="00000000" w:rsidRDefault="00000000" w:rsidRPr="00000000" w14:paraId="000000C7">
            <w:pPr>
              <w:pStyle w:val="Heading1"/>
              <w:keepNext w:val="0"/>
              <w:keepLines w:val="0"/>
              <w:widowControl w:val="0"/>
              <w:spacing w:after="0" w:before="0" w:line="240" w:lineRule="auto"/>
              <w:rPr>
                <w:rFonts w:ascii="Arial" w:cs="Arial" w:eastAsia="Arial" w:hAnsi="Arial"/>
                <w:b w:val="0"/>
                <w:color w:val="1b1c1d"/>
                <w:sz w:val="22"/>
                <w:szCs w:val="22"/>
              </w:rPr>
            </w:pPr>
            <w:bookmarkStart w:colFirst="0" w:colLast="0" w:name="_heading=h.9cclhkpfnehv" w:id="12"/>
            <w:bookmarkEnd w:id="12"/>
            <w:r w:rsidDel="00000000" w:rsidR="00000000" w:rsidRPr="00000000">
              <w:rPr>
                <w:rtl w:val="0"/>
              </w:rPr>
            </w:r>
          </w:p>
          <w:p w:rsidR="00000000" w:rsidDel="00000000" w:rsidP="00000000" w:rsidRDefault="00000000" w:rsidRPr="00000000" w14:paraId="000000C8">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2hvl1bgrhbkp" w:id="13"/>
            <w:bookmarkEnd w:id="13"/>
            <w:r w:rsidDel="00000000" w:rsidR="00000000" w:rsidRPr="00000000">
              <w:rPr>
                <w:rFonts w:ascii="Arial" w:cs="Arial" w:eastAsia="Arial" w:hAnsi="Arial"/>
                <w:color w:val="1b1c1d"/>
                <w:sz w:val="22"/>
                <w:szCs w:val="22"/>
                <w:rtl w:val="0"/>
              </w:rPr>
              <w:t xml:space="preserve">Presentación Gráfica de Resultados</w:t>
            </w:r>
          </w:p>
          <w:p w:rsidR="00000000" w:rsidDel="00000000" w:rsidP="00000000" w:rsidRDefault="00000000" w:rsidRPr="00000000" w14:paraId="000000C9">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p>
          <w:p w:rsidR="00000000" w:rsidDel="00000000" w:rsidP="00000000" w:rsidRDefault="00000000" w:rsidRPr="00000000" w14:paraId="000000CA">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B">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carga de datos, los participantes pueden cometer "blunders" como errores de tipeo, decimales, formato o asignación. Aunque los sistemas web son seguros, estos errores humanos persisten. Si se detectan, se contacta a los participantes para corregirlos antes del informe fina</w:t>
            </w:r>
          </w:p>
          <w:p w:rsidR="00000000" w:rsidDel="00000000" w:rsidP="00000000" w:rsidRDefault="00000000" w:rsidRPr="00000000" w14:paraId="000000CC">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D">
            <w:pPr>
              <w:pStyle w:val="Heading2"/>
              <w:keepNext w:val="0"/>
              <w:keepLines w:val="0"/>
              <w:widowControl w:val="0"/>
              <w:numPr>
                <w:ilvl w:val="2"/>
                <w:numId w:val="2"/>
              </w:numPr>
              <w:spacing w:after="0" w:before="0" w:line="240" w:lineRule="auto"/>
              <w:ind w:left="1224" w:hanging="504.00000000000006"/>
              <w:rPr>
                <w:rFonts w:ascii="Arial" w:cs="Arial" w:eastAsia="Arial" w:hAnsi="Arial"/>
                <w:color w:val="1b1c1d"/>
                <w:sz w:val="22"/>
                <w:szCs w:val="22"/>
              </w:rPr>
            </w:pPr>
            <w:bookmarkStart w:colFirst="0" w:colLast="0" w:name="_heading=h.72dwevqtpcoq" w:id="14"/>
            <w:bookmarkEnd w:id="14"/>
            <w:r w:rsidDel="00000000" w:rsidR="00000000" w:rsidRPr="00000000">
              <w:rPr>
                <w:rFonts w:ascii="Arial" w:cs="Arial" w:eastAsia="Arial" w:hAnsi="Arial"/>
                <w:color w:val="1b1c1d"/>
                <w:sz w:val="22"/>
                <w:szCs w:val="22"/>
                <w:rtl w:val="0"/>
              </w:rPr>
              <w:t xml:space="preserve">Contenido del Informe</w:t>
            </w:r>
          </w:p>
          <w:p w:rsidR="00000000" w:rsidDel="00000000" w:rsidP="00000000" w:rsidRDefault="00000000" w:rsidRPr="00000000" w14:paraId="000000CE">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informe de ensayo de aptitud se elabora de acuerdo al </w:t>
            </w: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CF">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0">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13"/>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D1">
            <w:pPr>
              <w:spacing w:after="120" w:before="120" w:line="24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D2">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D3">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D4">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D5">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D6">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D7">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D8">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D9">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DA">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DB">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DC">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DD">
      <w:pPr>
        <w:spacing w:after="120" w:line="240" w:lineRule="auto"/>
        <w:jc w:val="both"/>
        <w:rPr>
          <w:rFonts w:ascii="Arial" w:cs="Arial" w:eastAsia="Arial" w:hAnsi="Arial"/>
          <w:sz w:val="22"/>
          <w:szCs w:val="22"/>
          <w:vertAlign w:val="baseline"/>
        </w:rPr>
      </w:pPr>
      <w:r w:rsidDel="00000000" w:rsidR="00000000" w:rsidRPr="00000000">
        <w:rPr>
          <w:rtl w:val="0"/>
        </w:rPr>
      </w:r>
    </w:p>
    <w:sectPr>
      <w:headerReference r:id="rId10"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4"/>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47" name="image3.png"/>
                <a:graphic>
                  <a:graphicData uri="http://schemas.openxmlformats.org/drawingml/2006/picture">
                    <pic:pic>
                      <pic:nvPicPr>
                        <pic:cNvPr descr="Sin título" id="0" name="image3.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sz w:val="20"/>
              <w:szCs w:val="20"/>
              <w:rtl w:val="0"/>
            </w:rPr>
            <w:t xml:space="preserve">5</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i w:val="0"/>
              <w:smallCaps w:val="0"/>
              <w:strike w:val="0"/>
              <w:color w:val="000000"/>
              <w:sz w:val="20"/>
              <w:szCs w:val="20"/>
              <w:u w:val="none"/>
              <w:shd w:fill="auto" w:val="clear"/>
              <w:vertAlign w:val="subscript"/>
            </w:rPr>
          </w:pPr>
          <w:r w:rsidDel="00000000" w:rsidR="00000000" w:rsidRPr="00000000">
            <w:rPr>
              <w:rFonts w:ascii="Arial" w:cs="Arial" w:eastAsia="Arial" w:hAnsi="Arial"/>
              <w:b w:val="1"/>
              <w:sz w:val="20"/>
              <w:szCs w:val="20"/>
              <w:rtl w:val="0"/>
            </w:rPr>
            <w:t xml:space="preserve">PROCEDIMIENTO DE ENSAYO DE APTITUD PARA SO</w:t>
          </w:r>
          <w:r w:rsidDel="00000000" w:rsidR="00000000" w:rsidRPr="00000000">
            <w:rPr>
              <w:rFonts w:ascii="Arial" w:cs="Arial" w:eastAsia="Arial" w:hAnsi="Arial"/>
              <w:b w:val="1"/>
              <w:sz w:val="20"/>
              <w:szCs w:val="20"/>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b w:val="1"/>
        <w:i w:val="0"/>
        <w:vertAlign w:val="baseline"/>
      </w:rPr>
    </w:lvl>
    <w:lvl w:ilvl="1">
      <w:start w:val="2"/>
      <w:numFmt w:val="decimal"/>
      <w:lvlText w:val="%1.%2."/>
      <w:lvlJc w:val="left"/>
      <w:pPr>
        <w:ind w:left="792" w:hanging="432"/>
      </w:pPr>
      <w:rPr>
        <w:b w:val="1"/>
        <w:vertAlign w:val="baseline"/>
      </w:rPr>
    </w:lvl>
    <w:lvl w:ilvl="2">
      <w:start w:val="1"/>
      <w:numFmt w:val="decimal"/>
      <w:lvlText w:val="%1.%2.%3."/>
      <w:lvlJc w:val="left"/>
      <w:pPr>
        <w:ind w:left="1224" w:hanging="504"/>
      </w:pPr>
      <w:rPr>
        <w:b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FbIPsS4NPNwFCFVuVgsFQZUtLQ==">CgMxLjAaHwoBMBIaChgICVIUChJ0YWJsZS5zOXlnZnYyZWl2eXAaHwoBMRIaChgICVIUChJ0YWJsZS5kNmg1M3Y4MGNkNDQaJAoBMhIfCh0IB0IZCgVBcmlhbBIQQXJpYWwgVW5pY29kZSBNUxofCgEzEhoKGAgJUhQKEnRhYmxlLjJndnd5dW4wdWFkeBofCgE0EhoKGAgJUhQKEnRhYmxlLnk4cjlrem9mNzlyMBofCgE1EhoKGAgJUhQKEnRhYmxlLnc3MnowdmhyaXRrNBokCgE2Eh8KHQgHQhkKBUFyaWFsEhBBcmlhbCBVbmljb2RlIE1TGh8KATcSGgoYCAlSFAoSdGFibGUudXhtYjAzOG16ZWVkGh8KATgSGgoYCAlSFAoSdGFibGUub2RvZHZhcWIwNHczGh8KATkSGgoYCAlSFAoSdGFibGUuNXQwd2ZlOTEwODAyGiUKAjEwEh8KHQgHQhkKBUFyaWFsEhBBcmlhbCBVbmljb2RlIE1TGiUKAjExEh8KHQgHQhkKBUFyaWFsEhBBcmlhbCBVbmljb2RlIE1TGiUKAjEyEh8KHQgHQhkKBUFyaWFsEhBBcmlhbCBVbmljb2RlIE1TMg5oLndiMWN0ZXRodXFwYTIOaC45dGUwMXZlbWp2eDgyDmgudnFscmVldGx4bXpmMg5oLjE5dnA0dzlxeGZoZzIOaC54OWE5YmU4eHluYXkyDmgucjZubnp4OTBocGVwMg5oLnpjaGdvamt1Z252NjIOaC42b2gxMHE4cm56dDkyDmgubGFweDIwM2VoNXJ3Mg1oLnZlMTlwb2h0NWJpMg5oLjVkM21udXMwZ2F2dzIOaC45bDVjZ2JiYnpwbDAyDmguOWNjbGhrcGZuZWh2Mg5oLjJodmwxYmdyaGJrcDIOaC43MmR3ZXZxdHBjb3E4AHIhMV9IQndNeU5jd3dwOG92WldLOE5ZdU9TQnZEZzQxdF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