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i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El </w:t>
            </w:r>
            <w:r w:rsidDel="00000000" w:rsidR="00000000" w:rsidRPr="00000000">
              <w:rPr>
                <w:rFonts w:ascii="Arial" w:cs="Arial" w:eastAsia="Arial" w:hAnsi="Arial"/>
                <w:sz w:val="22"/>
                <w:szCs w:val="22"/>
                <w:rtl w:val="0"/>
              </w:rPr>
              <w:t xml:space="preserve">objetivo del procedimiento </w:t>
            </w:r>
            <w:r w:rsidDel="00000000" w:rsidR="00000000" w:rsidRPr="00000000">
              <w:rPr>
                <w:rFonts w:ascii="Arial" w:cs="Arial" w:eastAsia="Arial" w:hAnsi="Arial"/>
                <w:sz w:val="22"/>
                <w:szCs w:val="22"/>
                <w:vertAlign w:val="baseline"/>
                <w:rtl w:val="0"/>
              </w:rPr>
              <w:t xml:space="preserve">es definir los parámetros para el desarrollo del ensayo de aptitud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Esto se hace en estricto cumplimiento con la norma internacional ISO/IEC 17043:2023.</w:t>
            </w:r>
          </w:p>
        </w:tc>
      </w:tr>
      <w:tr>
        <w:trPr>
          <w:cantSplit w:val="0"/>
          <w:tblHeader w:val="0"/>
        </w:trPr>
        <w:tc>
          <w:tcPr>
            <w:vAlign w:val="top"/>
          </w:tcPr>
          <w:p w:rsidR="00000000" w:rsidDel="00000000" w:rsidP="00000000" w:rsidRDefault="00000000" w:rsidRPr="00000000" w14:paraId="00000004">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w:t>
            </w:r>
            <w:r w:rsidDel="00000000" w:rsidR="00000000" w:rsidRPr="00000000">
              <w:rPr>
                <w:rFonts w:ascii="Arial" w:cs="Arial" w:eastAsia="Arial" w:hAnsi="Arial"/>
                <w:sz w:val="22"/>
                <w:szCs w:val="22"/>
                <w:rtl w:val="0"/>
              </w:rPr>
              <w:t xml:space="preserve">procedimiento </w:t>
            </w:r>
            <w:r w:rsidDel="00000000" w:rsidR="00000000" w:rsidRPr="00000000">
              <w:rPr>
                <w:rFonts w:ascii="Arial" w:cs="Arial" w:eastAsia="Arial" w:hAnsi="Arial"/>
                <w:sz w:val="22"/>
                <w:szCs w:val="22"/>
                <w:vertAlign w:val="baseline"/>
                <w:rtl w:val="0"/>
              </w:rPr>
              <w:t xml:space="preserve">abarca todo el proceso desde la determinación de los niveles del ítem de ensayo</w:t>
            </w:r>
            <w:r w:rsidDel="00000000" w:rsidR="00000000" w:rsidRPr="00000000">
              <w:rPr>
                <w:rFonts w:ascii="Arial" w:cs="Arial" w:eastAsia="Arial" w:hAnsi="Arial"/>
                <w:sz w:val="22"/>
                <w:szCs w:val="22"/>
                <w:rtl w:val="0"/>
              </w:rPr>
              <w:t xml:space="preserve"> y el procedimiento para</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rtl w:val="0"/>
              </w:rPr>
              <w:t xml:space="preserve">la evaluación de la competencia para los gases monóxido de nitrógeno-dióxido de nitrógeno.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120" w:before="120" w:line="24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DEFINICIONES:</w:t>
            </w:r>
          </w:p>
          <w:p w:rsidR="00000000" w:rsidDel="00000000" w:rsidP="00000000" w:rsidRDefault="00000000" w:rsidRPr="00000000" w14:paraId="00000006">
            <w:pPr>
              <w:numPr>
                <w:ilvl w:val="0"/>
                <w:numId w:val="3"/>
              </w:numPr>
              <w:spacing w:after="200" w:before="24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rsidR="00000000" w:rsidDel="00000000" w:rsidP="00000000" w:rsidRDefault="00000000" w:rsidRPr="00000000" w14:paraId="00000007">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p>
          <w:p w:rsidR="00000000" w:rsidDel="00000000" w:rsidP="00000000" w:rsidRDefault="00000000" w:rsidRPr="00000000" w14:paraId="00000008">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contaminantes como NO y NO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rsidR="00000000" w:rsidDel="00000000" w:rsidP="00000000" w:rsidRDefault="00000000" w:rsidRPr="00000000" w14:paraId="00000009">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p>
          <w:p w:rsidR="00000000" w:rsidDel="00000000" w:rsidP="00000000" w:rsidRDefault="00000000" w:rsidRPr="00000000" w14:paraId="0000000A">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p>
          <w:p w:rsidR="00000000" w:rsidDel="00000000" w:rsidP="00000000" w:rsidRDefault="00000000" w:rsidRPr="00000000" w14:paraId="0000000B">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Item de ensayo - gases de referencia</w:t>
            </w:r>
            <w:r w:rsidDel="00000000" w:rsidR="00000000" w:rsidRPr="00000000">
              <w:rPr>
                <w:rFonts w:ascii="Arial" w:cs="Arial" w:eastAsia="Arial" w:hAnsi="Arial"/>
                <w:sz w:val="22"/>
                <w:szCs w:val="22"/>
                <w:rtl w:val="0"/>
              </w:rPr>
              <w:t xml:space="preserve"> El ítem de ensayo es una atmósfera de gas contaminante criterio en aire cero suministradas a través de un colector de distribución, generadas dinámicamente a partir de un Material Certificado de Referencia.</w:t>
            </w:r>
          </w:p>
          <w:p w:rsidR="00000000" w:rsidDel="00000000" w:rsidP="00000000" w:rsidRDefault="00000000" w:rsidRPr="00000000" w14:paraId="0000000C">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w:t>
            </w:r>
          </w:p>
          <w:p w:rsidR="00000000" w:rsidDel="00000000" w:rsidP="00000000" w:rsidRDefault="00000000" w:rsidRPr="00000000" w14:paraId="0000000D">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w:t>
            </w:r>
          </w:p>
          <w:p w:rsidR="00000000" w:rsidDel="00000000" w:rsidP="00000000" w:rsidRDefault="00000000" w:rsidRPr="00000000" w14:paraId="0000000E">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rsidR="00000000" w:rsidDel="00000000" w:rsidP="00000000" w:rsidRDefault="00000000" w:rsidRPr="00000000" w14:paraId="0000000F">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w:t>
            </w:r>
          </w:p>
          <w:p w:rsidR="00000000" w:rsidDel="00000000" w:rsidP="00000000" w:rsidRDefault="00000000" w:rsidRPr="00000000" w14:paraId="00000010">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p>
          <w:p w:rsidR="00000000" w:rsidDel="00000000" w:rsidP="00000000" w:rsidRDefault="00000000" w:rsidRPr="00000000" w14:paraId="00000011">
            <w:pPr>
              <w:numPr>
                <w:ilvl w:val="0"/>
                <w:numId w:val="3"/>
              </w:numPr>
              <w:spacing w:after="200" w:before="24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p>
        </w:tc>
      </w:tr>
      <w:tr>
        <w:trPr>
          <w:cantSplit w:val="0"/>
          <w:tblHeader w:val="0"/>
        </w:trPr>
        <w:tc>
          <w:tcPr>
            <w:vAlign w:val="top"/>
          </w:tcPr>
          <w:p w:rsidR="00000000" w:rsidDel="00000000" w:rsidP="00000000" w:rsidRDefault="00000000" w:rsidRPr="00000000" w14:paraId="00000012">
            <w:pPr>
              <w:spacing w:line="240" w:lineRule="auto"/>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DOCUMENTOS DE REFERENCIA:</w:t>
            </w:r>
          </w:p>
          <w:p w:rsidR="00000000" w:rsidDel="00000000" w:rsidP="00000000" w:rsidRDefault="00000000" w:rsidRPr="00000000" w14:paraId="00000013">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14">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15">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P-PSEA-01 Protocolo General De Ensayo De Aptitud Para Gases Contaminantes Criterio</w:t>
            </w:r>
          </w:p>
          <w:p w:rsidR="00000000" w:rsidDel="00000000" w:rsidP="00000000" w:rsidRDefault="00000000" w:rsidRPr="00000000" w14:paraId="00000016">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17">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8">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CONDICIONES GENERALES:</w:t>
            </w:r>
            <w:r w:rsidDel="00000000" w:rsidR="00000000" w:rsidRPr="00000000">
              <w:rPr>
                <w:rtl w:val="0"/>
              </w:rPr>
            </w:r>
          </w:p>
        </w:tc>
      </w:tr>
    </w:tbl>
    <w:p w:rsidR="00000000" w:rsidDel="00000000" w:rsidP="00000000" w:rsidRDefault="00000000" w:rsidRPr="00000000" w14:paraId="00000019">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2"/>
        <w:tblW w:w="14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A">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B">
            <w:pPr>
              <w:tabs>
                <w:tab w:val="left" w:leader="none" w:pos="426"/>
              </w:tabs>
              <w:spacing w:after="0" w:before="0" w:line="24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C">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wb1ctethuqpa" w:id="0"/>
            <w:bookmarkEnd w:id="0"/>
            <w:r w:rsidDel="00000000" w:rsidR="00000000" w:rsidRPr="00000000">
              <w:rPr>
                <w:rFonts w:ascii="Arial" w:cs="Arial" w:eastAsia="Arial" w:hAnsi="Arial"/>
                <w:color w:val="1b1c1d"/>
                <w:sz w:val="22"/>
                <w:szCs w:val="22"/>
                <w:rtl w:val="0"/>
              </w:rPr>
              <w:t xml:space="preserve">Preparación del Ítem de Ensayo</w:t>
            </w:r>
          </w:p>
          <w:p w:rsidR="00000000" w:rsidDel="00000000" w:rsidP="00000000" w:rsidRDefault="00000000" w:rsidRPr="00000000" w14:paraId="0000001D">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9te01vemjvx8" w:id="1"/>
            <w:bookmarkEnd w:id="1"/>
            <w:r w:rsidDel="00000000" w:rsidR="00000000" w:rsidRPr="00000000">
              <w:rPr>
                <w:rFonts w:ascii="Arial" w:cs="Arial" w:eastAsia="Arial" w:hAnsi="Arial"/>
                <w:color w:val="1b1c1d"/>
                <w:sz w:val="22"/>
                <w:szCs w:val="22"/>
                <w:rtl w:val="0"/>
              </w:rPr>
              <w:t xml:space="preserve">Ítem de Ensayo de Aptitud</w:t>
            </w:r>
          </w:p>
          <w:p w:rsidR="00000000" w:rsidDel="00000000" w:rsidP="00000000" w:rsidRDefault="00000000" w:rsidRPr="00000000" w14:paraId="0000001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ítem de ensayo consiste en concentraciones de monóxido de nitrógeno/dióxido de nitrógeno en aire cero generadas dinámicamente. El gas es suministrado a través de un manifold de distribución para asegurar la inercia del material y la homogeneidad de la muestra.</w:t>
            </w:r>
          </w:p>
          <w:p w:rsidR="00000000" w:rsidDel="00000000" w:rsidP="00000000" w:rsidRDefault="00000000" w:rsidRPr="00000000" w14:paraId="0000001F">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0">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vqlreetlxmzf" w:id="2"/>
            <w:bookmarkEnd w:id="2"/>
            <w:r w:rsidDel="00000000" w:rsidR="00000000" w:rsidRPr="00000000">
              <w:rPr>
                <w:rFonts w:ascii="Arial" w:cs="Arial" w:eastAsia="Arial" w:hAnsi="Arial"/>
                <w:color w:val="1b1c1d"/>
                <w:sz w:val="22"/>
                <w:szCs w:val="22"/>
                <w:rtl w:val="0"/>
              </w:rPr>
              <w:t xml:space="preserve">Generación de los Niveles de Concentración de Ensayo</w:t>
            </w:r>
          </w:p>
          <w:p w:rsidR="00000000" w:rsidDel="00000000" w:rsidP="00000000" w:rsidRDefault="00000000" w:rsidRPr="00000000" w14:paraId="0000002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Basado en el análisis de datos históricos y los umbrales regulatorios de calidad del aire, se han establecido cinco niveles de concentración nominal para el ensayo. Estos niveles cubren el rango de medición crítico para el NO-NO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La concentración nominal se refiere a la concentración fijada en el calibrador dinámico.</w:t>
            </w:r>
          </w:p>
          <w:p w:rsidR="00000000" w:rsidDel="00000000" w:rsidP="00000000" w:rsidRDefault="00000000" w:rsidRPr="00000000" w14:paraId="00000022">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plantean 2 alternativas de ensayo para el 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una primera es la generación de niveles de 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por titulación GPT dejando fija la concentración de NO; la segunda es generar las concentraciones de 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por titulación GPT variando los niveles de NO.</w:t>
            </w:r>
          </w:p>
          <w:p w:rsidR="00000000" w:rsidDel="00000000" w:rsidP="00000000" w:rsidRDefault="00000000" w:rsidRPr="00000000" w14:paraId="00000024">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Concentraciones de NO</w:t>
            </w:r>
          </w:p>
          <w:tbl>
            <w:tblPr>
              <w:tblStyle w:val="Table3"/>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85"/>
              <w:gridCol w:w="3165"/>
              <w:gridCol w:w="5790"/>
              <w:tblGridChange w:id="0">
                <w:tblGrid>
                  <w:gridCol w:w="2385"/>
                  <w:gridCol w:w="2985"/>
                  <w:gridCol w:w="3165"/>
                  <w:gridCol w:w="5790"/>
                </w:tblGrid>
              </w:tblGridChange>
            </w:tblGrid>
            <w:tr>
              <w:trPr>
                <w:cantSplit w:val="0"/>
                <w:trHeight w:val="375" w:hRule="atLeast"/>
                <w:tblHeader w:val="0"/>
              </w:trPr>
              <w:tc>
                <w:tcPr>
                  <w:gridSpan w:val="4"/>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1. Concentraciones referencia para NO</w:t>
                  </w:r>
                </w:p>
              </w:tc>
            </w:tr>
            <w:tr>
              <w:trPr>
                <w:cantSplit w:val="0"/>
                <w:trHeight w:val="1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Nominal 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p w:rsidR="00000000" w:rsidDel="00000000" w:rsidP="00000000" w:rsidRDefault="00000000" w:rsidRPr="00000000" w14:paraId="0000004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 expresadas en ppb</w:t>
            </w:r>
          </w:p>
          <w:p w:rsidR="00000000" w:rsidDel="00000000" w:rsidP="00000000" w:rsidRDefault="00000000" w:rsidRPr="00000000" w14:paraId="00000042">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4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Alternativa 1 - Concentraciones de NO-NO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Fonts w:ascii="Arial" w:cs="Arial" w:eastAsia="Arial" w:hAnsi="Arial"/>
                <w:b w:val="1"/>
                <w:color w:val="1b1c1d"/>
                <w:sz w:val="22"/>
                <w:szCs w:val="22"/>
                <w:rtl w:val="0"/>
              </w:rPr>
              <w:t xml:space="preserve"> por titulación GPT - Nivel Fijo NO</w:t>
            </w:r>
            <w:r w:rsidDel="00000000" w:rsidR="00000000" w:rsidRPr="00000000">
              <w:rPr>
                <w:rtl w:val="0"/>
              </w:rPr>
            </w:r>
          </w:p>
          <w:tbl>
            <w:tblPr>
              <w:tblStyle w:val="Table4"/>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640"/>
              <w:gridCol w:w="2640"/>
              <w:gridCol w:w="2640"/>
              <w:gridCol w:w="2640"/>
              <w:gridCol w:w="2640"/>
              <w:tblGridChange w:id="0">
                <w:tblGrid>
                  <w:gridCol w:w="1125"/>
                  <w:gridCol w:w="2640"/>
                  <w:gridCol w:w="2640"/>
                  <w:gridCol w:w="2640"/>
                  <w:gridCol w:w="2640"/>
                  <w:gridCol w:w="2640"/>
                </w:tblGrid>
              </w:tblGridChange>
            </w:tblGrid>
            <w:tr>
              <w:trPr>
                <w:cantSplit w:val="0"/>
                <w:trHeight w:val="285" w:hRule="atLeast"/>
                <w:tblHeader w:val="0"/>
              </w:trPr>
              <w:tc>
                <w:tcPr>
                  <w:gridSpan w:val="6"/>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2. Concentraciones referencia para NO-NO2 por GPT-NO fijo</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Nominal 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b w:val="1"/>
                      <w:color w:val="1b1c1d"/>
                      <w:sz w:val="22"/>
                      <w:szCs w:val="22"/>
                      <w:rtl w:val="0"/>
                    </w:rPr>
                    <w:t xml:space="preserve">Concentración Titulación O</w:t>
                  </w:r>
                  <w:r w:rsidDel="00000000" w:rsidR="00000000" w:rsidRPr="00000000">
                    <w:rPr>
                      <w:rFonts w:ascii="Arial" w:cs="Arial" w:eastAsia="Arial" w:hAnsi="Arial"/>
                      <w:b w:val="1"/>
                      <w:color w:val="1b1c1d"/>
                      <w:sz w:val="22"/>
                      <w:szCs w:val="22"/>
                      <w:vertAlign w:val="subscript"/>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b w:val="1"/>
                      <w:color w:val="1b1c1d"/>
                      <w:sz w:val="22"/>
                      <w:szCs w:val="22"/>
                      <w:rtl w:val="0"/>
                    </w:rPr>
                    <w:t xml:space="preserve">Concentración Esperada de NO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75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75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p w:rsidR="00000000" w:rsidDel="00000000" w:rsidP="00000000" w:rsidRDefault="00000000" w:rsidRPr="00000000" w14:paraId="0000006E">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w:t>
            </w:r>
          </w:p>
          <w:p w:rsidR="00000000" w:rsidDel="00000000" w:rsidP="00000000" w:rsidRDefault="00000000" w:rsidRPr="00000000" w14:paraId="0000006F">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7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b w:val="1"/>
                <w:color w:val="1b1c1d"/>
                <w:sz w:val="22"/>
                <w:szCs w:val="22"/>
                <w:rtl w:val="0"/>
              </w:rPr>
              <w:t xml:space="preserve">Alternativa 2 - Concentraciones de NO-NO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Fonts w:ascii="Arial" w:cs="Arial" w:eastAsia="Arial" w:hAnsi="Arial"/>
                <w:b w:val="1"/>
                <w:color w:val="1b1c1d"/>
                <w:sz w:val="22"/>
                <w:szCs w:val="22"/>
                <w:rtl w:val="0"/>
              </w:rPr>
              <w:t xml:space="preserve"> por titulación GPT - Nivel NO variable</w:t>
            </w:r>
            <w:r w:rsidDel="00000000" w:rsidR="00000000" w:rsidRPr="00000000">
              <w:rPr>
                <w:rtl w:val="0"/>
              </w:rPr>
            </w:r>
          </w:p>
          <w:tbl>
            <w:tblPr>
              <w:tblStyle w:val="Table5"/>
              <w:tblW w:w="14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370"/>
              <w:gridCol w:w="2370"/>
              <w:gridCol w:w="2370"/>
              <w:gridCol w:w="2370"/>
              <w:gridCol w:w="2370"/>
              <w:tblGridChange w:id="0">
                <w:tblGrid>
                  <w:gridCol w:w="2370"/>
                  <w:gridCol w:w="2370"/>
                  <w:gridCol w:w="2370"/>
                  <w:gridCol w:w="2370"/>
                  <w:gridCol w:w="2370"/>
                  <w:gridCol w:w="2370"/>
                </w:tblGrid>
              </w:tblGridChange>
            </w:tblGrid>
            <w:tr>
              <w:trPr>
                <w:cantSplit w:val="0"/>
                <w:trHeight w:val="280" w:hRule="atLeast"/>
                <w:tblHeader w:val="0"/>
              </w:trPr>
              <w:tc>
                <w:tcPr>
                  <w:gridSpan w:val="6"/>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3. Concentraciones referencia para NO-NO2 por GPT - NO variable</w:t>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Nominal NO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Titulación O3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Esperada de NO2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60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60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90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90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p w:rsidR="00000000" w:rsidDel="00000000" w:rsidP="00000000" w:rsidRDefault="00000000" w:rsidRPr="00000000" w14:paraId="000000B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w:t>
            </w:r>
          </w:p>
          <w:p w:rsidR="00000000" w:rsidDel="00000000" w:rsidP="00000000" w:rsidRDefault="00000000" w:rsidRPr="00000000" w14:paraId="000000B4">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B5">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19vp4w9qxfhg" w:id="3"/>
            <w:bookmarkEnd w:id="3"/>
            <w:r w:rsidDel="00000000" w:rsidR="00000000" w:rsidRPr="00000000">
              <w:rPr>
                <w:rFonts w:ascii="Arial" w:cs="Arial" w:eastAsia="Arial" w:hAnsi="Arial"/>
                <w:color w:val="1b1c1d"/>
                <w:sz w:val="22"/>
                <w:szCs w:val="22"/>
                <w:rtl w:val="0"/>
              </w:rPr>
              <w:t xml:space="preserve">Evaluación de Homogeneidad y Estabilidad del Item de Ensayo</w:t>
            </w:r>
          </w:p>
          <w:p w:rsidR="00000000" w:rsidDel="00000000" w:rsidP="00000000" w:rsidRDefault="00000000" w:rsidRPr="00000000" w14:paraId="000000B6">
            <w:pPr>
              <w:spacing w:line="240" w:lineRule="auto"/>
              <w:ind w:left="0" w:firstLine="0"/>
              <w:rPr/>
            </w:pPr>
            <w:r w:rsidDel="00000000" w:rsidR="00000000" w:rsidRPr="00000000">
              <w:rPr>
                <w:rtl w:val="0"/>
              </w:rPr>
            </w:r>
          </w:p>
          <w:p w:rsidR="00000000" w:rsidDel="00000000" w:rsidP="00000000" w:rsidRDefault="00000000" w:rsidRPr="00000000" w14:paraId="000000B7">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de la homogeneidad del material de prueba se fundamenta en los métodos de la Sección 5.3 y los criterios de ISO 13528:2015/2022, comparando las lecturas de analizadores duplicados a lo largo del colector de muestreo. </w:t>
            </w:r>
            <w:r w:rsidDel="00000000" w:rsidR="00000000" w:rsidRPr="00000000">
              <w:rPr>
                <w:rFonts w:ascii="Arial" w:cs="Arial" w:eastAsia="Arial" w:hAnsi="Arial"/>
                <w:color w:val="1b1c1d"/>
                <w:sz w:val="22"/>
                <w:szCs w:val="22"/>
                <w:rtl w:val="0"/>
              </w:rPr>
              <w:t xml:space="preserve">Se considera homogéneo si la desviación estándar entre muestras (ss) o las diferencias absolutas observadas son inferiores al valor crítico de homogeneidad (c), derivado de la desviación estándar esperada en la CIL (σpt), o a las diferencias máximas especificadas.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La mezcla de prueba se preparan</w:t>
            </w:r>
            <w:r w:rsidDel="00000000" w:rsidR="00000000" w:rsidRPr="00000000">
              <w:rPr>
                <w:rFonts w:ascii="Arial" w:cs="Arial" w:eastAsia="Arial" w:hAnsi="Arial"/>
                <w:color w:val="1b1c1d"/>
                <w:sz w:val="22"/>
                <w:szCs w:val="22"/>
                <w:rtl w:val="0"/>
              </w:rPr>
              <w:t xml:space="preserve"> dinámicamente mediante el uso de un generador de ozono con fotómetro nivel 2 en la cadena de trazabilidad</w:t>
            </w:r>
            <w:r w:rsidDel="00000000" w:rsidR="00000000" w:rsidRPr="00000000">
              <w:rPr>
                <w:rFonts w:ascii="Arial" w:cs="Arial" w:eastAsia="Arial" w:hAnsi="Arial"/>
                <w:color w:val="1b1c1d"/>
                <w:sz w:val="22"/>
                <w:szCs w:val="22"/>
                <w:rtl w:val="0"/>
              </w:rPr>
              <w:t xml:space="preserve">, y se distribuyen a través de un colector de vidrio para asegurar la inercia y homogeneidad.</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La prueba de cero directo al equipo se realiza conectando el calibrador directamente y luego a través del manifold para evaluar la línea calibrador-manifold-analizador.</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r w:rsidDel="00000000" w:rsidR="00000000" w:rsidRPr="00000000">
              <w:rPr>
                <w:rtl w:val="0"/>
              </w:rPr>
            </w:r>
          </w:p>
          <w:p w:rsidR="00000000" w:rsidDel="00000000" w:rsidP="00000000" w:rsidRDefault="00000000" w:rsidRPr="00000000" w14:paraId="000000B8">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9">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x9a9be8xynay" w:id="4"/>
            <w:bookmarkEnd w:id="4"/>
            <w:r w:rsidDel="00000000" w:rsidR="00000000" w:rsidRPr="00000000">
              <w:rPr>
                <w:rFonts w:ascii="Arial" w:cs="Arial" w:eastAsia="Arial" w:hAnsi="Arial"/>
                <w:color w:val="1b1c1d"/>
                <w:sz w:val="22"/>
                <w:szCs w:val="22"/>
                <w:rtl w:val="0"/>
              </w:rPr>
              <w:t xml:space="preserve">Procesamiento de datos</w:t>
            </w:r>
          </w:p>
          <w:p w:rsidR="00000000" w:rsidDel="00000000" w:rsidP="00000000" w:rsidRDefault="00000000" w:rsidRPr="00000000" w14:paraId="000000BA">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procesa los resultados de las mediciones de cada laboratorio para cumplir con la ISO 17043:2023 en aseguramiento y confidencialidad de datos.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Los laboratorios deben informar tres valores promedio de 30 minutos, más la incertidumbre asociada, para cada compuesto y nivel de concentración.</w:t>
            </w:r>
            <w:r w:rsidDel="00000000" w:rsidR="00000000" w:rsidRPr="00000000">
              <w:rPr>
                <w:rtl w:val="0"/>
              </w:rPr>
            </w:r>
          </w:p>
          <w:p w:rsidR="00000000" w:rsidDel="00000000" w:rsidP="00000000" w:rsidRDefault="00000000" w:rsidRPr="00000000" w14:paraId="000000BB">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C">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r6nnzx90hpep" w:id="5"/>
            <w:bookmarkEnd w:id="5"/>
            <w:r w:rsidDel="00000000" w:rsidR="00000000" w:rsidRPr="00000000">
              <w:rPr>
                <w:rFonts w:ascii="Arial" w:cs="Arial" w:eastAsia="Arial" w:hAnsi="Arial"/>
                <w:color w:val="1b1c1d"/>
                <w:sz w:val="22"/>
                <w:szCs w:val="22"/>
                <w:rtl w:val="0"/>
              </w:rPr>
              <w:t xml:space="preserve">Detección de Valores Atípicos</w:t>
            </w:r>
          </w:p>
          <w:p w:rsidR="00000000" w:rsidDel="00000000" w:rsidP="00000000" w:rsidRDefault="00000000" w:rsidRPr="00000000" w14:paraId="000000BD">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como organizador, realiza pruebas estadísticas para identificar valores atípicos y asegurar la consistencia de los datos.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Errores obvios deben ser eliminados del conjunto de datos antes de aplicar procedimientos estadísticos robustos o pruebas formales de valores atípicos.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Si existe incertidumbre sobre la naturaleza de un resultado anómalo, este debe permanecer en el conjunto de datos para su posterior tratamiento estadístico, y el laboratorio participante deberá investigar la discrepancia.</w:t>
            </w:r>
            <w:r w:rsidDel="00000000" w:rsidR="00000000" w:rsidRPr="00000000">
              <w:rPr>
                <w:rtl w:val="0"/>
              </w:rPr>
            </w:r>
          </w:p>
          <w:p w:rsidR="00000000" w:rsidDel="00000000" w:rsidP="00000000" w:rsidRDefault="00000000" w:rsidRPr="00000000" w14:paraId="000000BE">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F">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datos deben revisarse visualmente usando histogramas y gráficos de densidad para identificar anomalías.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La norma ISO 13528 prefiere métodos estadísticos robustos (basados en mediana y rango central del 50%) sobre la eliminación explícita de valores atípicos, ya que son menos sensibles a valores extremos.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Aunque se prefieren los métodos robustos, las pruebas específicas de valores atípicos (Grubbs, Cochran) pueden complementar la revisión visual si se demuestran los supuestos estadísticos subyacentes.</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Es crucial documentar las pruebas usadas, el nivel de confianza y los límites de rechazo de datos.</w:t>
            </w:r>
            <w:r w:rsidDel="00000000" w:rsidR="00000000" w:rsidRPr="00000000">
              <w:rPr>
                <w:rtl w:val="0"/>
              </w:rPr>
            </w:r>
          </w:p>
          <w:p w:rsidR="00000000" w:rsidDel="00000000" w:rsidP="00000000" w:rsidRDefault="00000000" w:rsidRPr="00000000" w14:paraId="000000C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1">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zchgojkugnv6" w:id="6"/>
            <w:bookmarkEnd w:id="6"/>
            <w:r w:rsidDel="00000000" w:rsidR="00000000" w:rsidRPr="00000000">
              <w:rPr>
                <w:rFonts w:ascii="Arial" w:cs="Arial" w:eastAsia="Arial" w:hAnsi="Arial"/>
                <w:color w:val="1b1c1d"/>
                <w:sz w:val="22"/>
                <w:szCs w:val="22"/>
                <w:rtl w:val="0"/>
              </w:rPr>
              <w:t xml:space="preserve">Evaluación del Desempeño</w:t>
            </w:r>
          </w:p>
          <w:p w:rsidR="00000000" w:rsidDel="00000000" w:rsidP="00000000" w:rsidRDefault="00000000" w:rsidRPr="00000000" w14:paraId="000000C2">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6oh10q8rnzt9" w:id="7"/>
            <w:bookmarkEnd w:id="7"/>
            <w:r w:rsidDel="00000000" w:rsidR="00000000" w:rsidRPr="00000000">
              <w:rPr>
                <w:rFonts w:ascii="Arial" w:cs="Arial" w:eastAsia="Arial" w:hAnsi="Arial"/>
                <w:color w:val="1b1c1d"/>
                <w:sz w:val="22"/>
                <w:szCs w:val="22"/>
                <w:rtl w:val="0"/>
              </w:rPr>
              <w:t xml:space="preserve">Determinación del Valor Asignado (xpt​)</w:t>
            </w:r>
          </w:p>
          <w:p w:rsidR="00000000" w:rsidDel="00000000" w:rsidP="00000000" w:rsidRDefault="00000000" w:rsidRPr="00000000" w14:paraId="000000C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valor asignado para cada serie de concentración es la media de las mediciones obtenidas por el analizador de referencia de CALAIRE durante el período de medición establecido. Se determina al estimar la media de 3 concentraciones promedio de una hora. </w:t>
            </w:r>
          </w:p>
          <w:p w:rsidR="00000000" w:rsidDel="00000000" w:rsidP="00000000" w:rsidRDefault="00000000" w:rsidRPr="00000000" w14:paraId="000000C4">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5">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lapx203eh5rw" w:id="8"/>
            <w:bookmarkEnd w:id="8"/>
            <w:r w:rsidDel="00000000" w:rsidR="00000000" w:rsidRPr="00000000">
              <w:rPr>
                <w:rFonts w:ascii="Arial" w:cs="Arial" w:eastAsia="Arial" w:hAnsi="Arial"/>
                <w:color w:val="1b1c1d"/>
                <w:sz w:val="22"/>
                <w:szCs w:val="22"/>
                <w:rtl w:val="0"/>
              </w:rPr>
              <w:t xml:space="preserve">Estimación de la Incertidumbre del Valor Asignado (Uxpt​)</w:t>
            </w:r>
            <w:r w:rsidDel="00000000" w:rsidR="00000000" w:rsidRPr="00000000">
              <w:rPr>
                <w:rtl w:val="0"/>
              </w:rPr>
            </w:r>
          </w:p>
          <w:p w:rsidR="00000000" w:rsidDel="00000000" w:rsidP="00000000" w:rsidRDefault="00000000" w:rsidRPr="00000000" w14:paraId="000000C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calidad del valor asignado (X) proporcionado en el EA, se define por su incertidumbre expandida asociada (UX​). La evaluación sigue los principios de la Guía para la Expresión de la Incertidumbre en la Medición (GUM) de la ISO.</w:t>
            </w:r>
          </w:p>
          <w:p w:rsidR="00000000" w:rsidDel="00000000" w:rsidP="00000000" w:rsidRDefault="00000000" w:rsidRPr="00000000" w14:paraId="000000C7">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estándar del valor asignado, uX​, se calcula combinando la incertidumbre del valor de referencia del instrumento (uref​) y la incertidumbre de cualquier posible falta de homogeneidad en el gas de prueba entregado a los participantes (</w:t>
            </w:r>
            <w:r w:rsidDel="00000000" w:rsidR="00000000" w:rsidRPr="00000000">
              <w:rPr>
                <w:rFonts w:ascii="Arial" w:cs="Arial" w:eastAsia="Arial" w:hAnsi="Arial"/>
                <w:color w:val="1b1c1d"/>
                <w:sz w:val="22"/>
                <w:szCs w:val="22"/>
                <w:rtl w:val="0"/>
              </w:rPr>
              <w:t xml:space="preserve">uhom</w:t>
            </w:r>
            <w:r w:rsidDel="00000000" w:rsidR="00000000" w:rsidRPr="00000000">
              <w:rPr>
                <w:rFonts w:ascii="Arial" w:cs="Arial" w:eastAsia="Arial" w:hAnsi="Arial"/>
                <w:color w:val="1b1c1d"/>
                <w:sz w:val="22"/>
                <w:szCs w:val="22"/>
                <w:rtl w:val="0"/>
              </w:rPr>
              <w:t xml:space="preserve">​):</w:t>
            </w:r>
          </w:p>
          <w:p w:rsidR="00000000" w:rsidDel="00000000" w:rsidP="00000000" w:rsidRDefault="00000000" w:rsidRPr="00000000" w14:paraId="000000C9">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802389573"/>
              <w:tag w:val="goog_rdk_0"/>
            </w:sdtPr>
            <w:sdtContent>
              <w:tbl>
                <w:tblPr>
                  <w:tblStyle w:val="Table6"/>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uX​=uref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​+uhom</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1</w:t>
                      </w:r>
                    </w:p>
                  </w:tc>
                </w:tr>
              </w:tbl>
            </w:sdtContent>
          </w:sdt>
          <w:p w:rsidR="00000000" w:rsidDel="00000000" w:rsidP="00000000" w:rsidRDefault="00000000" w:rsidRPr="00000000" w14:paraId="000000CC">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expandida se calcula luego usando un factor de cobertura de k=2 (para un nivel de confianza de ~95%):</w:t>
            </w:r>
          </w:p>
          <w:sdt>
            <w:sdtPr>
              <w:lock w:val="contentLocked"/>
              <w:id w:val="775363612"/>
              <w:tag w:val="goog_rdk_2"/>
            </w:sdtPr>
            <w:sdtContent>
              <w:tbl>
                <w:tblPr>
                  <w:tblStyle w:val="Table7"/>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rPr>
                          <w:rFonts w:ascii="Arial" w:cs="Arial" w:eastAsia="Arial" w:hAnsi="Arial"/>
                          <w:color w:val="1b1c1d"/>
                          <w:sz w:val="22"/>
                          <w:szCs w:val="22"/>
                        </w:rPr>
                      </w:pPr>
                      <w:sdt>
                        <w:sdtPr>
                          <w:id w:val="895150101"/>
                          <w:tag w:val="goog_rdk_1"/>
                        </w:sdtPr>
                        <w:sdtContent>
                          <w:r w:rsidDel="00000000" w:rsidR="00000000" w:rsidRPr="00000000">
                            <w:rPr>
                              <w:rFonts w:ascii="Arial Unicode MS" w:cs="Arial Unicode MS" w:eastAsia="Arial Unicode MS" w:hAnsi="Arial Unicode MS"/>
                              <w:color w:val="1b1c1d"/>
                              <w:sz w:val="22"/>
                              <w:szCs w:val="22"/>
                              <w:rtl w:val="0"/>
                            </w:rPr>
                            <w:t xml:space="preserve">UX​=2⋅uX​</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2</w:t>
                      </w:r>
                    </w:p>
                  </w:tc>
                </w:tr>
              </w:tbl>
            </w:sdtContent>
          </w:sdt>
          <w:p w:rsidR="00000000" w:rsidDel="00000000" w:rsidP="00000000" w:rsidRDefault="00000000" w:rsidRPr="00000000" w14:paraId="000000D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del instrumento de referencia, uref​, es una composición de varias fuentes de incertidumbre individuales, que se combinan en cuadratura:</w:t>
            </w:r>
          </w:p>
          <w:sdt>
            <w:sdtPr>
              <w:lock w:val="contentLocked"/>
              <w:id w:val="-987819406"/>
              <w:tag w:val="goog_rdk_3"/>
            </w:sdtPr>
            <w:sdtContent>
              <w:tbl>
                <w:tblPr>
                  <w:tblStyle w:val="Table8"/>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uref</w:t>
                      </w:r>
                      <w:r w:rsidDel="00000000" w:rsidR="00000000" w:rsidRPr="00000000">
                        <w:rPr>
                          <w:rFonts w:ascii="Arial" w:cs="Arial" w:eastAsia="Arial" w:hAnsi="Arial"/>
                          <w:color w:val="1b1c1d"/>
                          <w:sz w:val="22"/>
                          <w:szCs w:val="22"/>
                          <w:rtl w:val="0"/>
                        </w:rPr>
                        <w:t xml:space="preserve">​=ucal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​+ur</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+ulof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​+ud</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​+uEC2​+uinfl2​​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3</w:t>
                      </w:r>
                    </w:p>
                  </w:tc>
                </w:tr>
              </w:tbl>
            </w:sdtContent>
          </w:sdt>
          <w:p w:rsidR="00000000" w:rsidDel="00000000" w:rsidP="00000000" w:rsidRDefault="00000000" w:rsidRPr="00000000" w14:paraId="000000D4">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D6">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ucal​: Incertidumbre del gas de calibración y del sistema de dilución.</w:t>
            </w:r>
          </w:p>
          <w:p w:rsidR="00000000" w:rsidDel="00000000" w:rsidP="00000000" w:rsidRDefault="00000000" w:rsidRPr="00000000" w14:paraId="000000D7">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ur​: Incertidumbre por repetibilidad a corto plazo (ruido del instrumento).</w:t>
            </w:r>
          </w:p>
          <w:p w:rsidR="00000000" w:rsidDel="00000000" w:rsidP="00000000" w:rsidRDefault="00000000" w:rsidRPr="00000000" w14:paraId="000000D8">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ulof​: Incertidumbre por falta de ajuste (no linealidad).</w:t>
            </w:r>
          </w:p>
          <w:p w:rsidR="00000000" w:rsidDel="00000000" w:rsidP="00000000" w:rsidRDefault="00000000" w:rsidRPr="00000000" w14:paraId="000000D9">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ud​: Incertidumbre por deriva a largo plazo entre calibraciones.</w:t>
            </w:r>
          </w:p>
          <w:p w:rsidR="00000000" w:rsidDel="00000000" w:rsidP="00000000" w:rsidRDefault="00000000" w:rsidRPr="00000000" w14:paraId="000000DA">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uEC​: Incertidumbre por la eficiencia del convertidor de NO₂.</w:t>
            </w:r>
          </w:p>
          <w:p w:rsidR="00000000" w:rsidDel="00000000" w:rsidP="00000000" w:rsidRDefault="00000000" w:rsidRPr="00000000" w14:paraId="000000DB">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uinfl​: Incertidumbre por influencias ambientales (temperatura, presión).</w:t>
            </w:r>
          </w:p>
          <w:p w:rsidR="00000000" w:rsidDel="00000000" w:rsidP="00000000" w:rsidRDefault="00000000" w:rsidRPr="00000000" w14:paraId="000000DC">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415429295"/>
              <w:tag w:val="goog_rdk_4"/>
            </w:sdtPr>
            <w:sdtContent>
              <w:tbl>
                <w:tblPr>
                  <w:tblStyle w:val="Table9"/>
                  <w:tblW w:w="141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47.5"/>
                  <w:gridCol w:w="3547.5"/>
                  <w:gridCol w:w="3547.5"/>
                  <w:gridCol w:w="3547.5"/>
                  <w:tblGridChange w:id="0">
                    <w:tblGrid>
                      <w:gridCol w:w="3547.5"/>
                      <w:gridCol w:w="3547.5"/>
                      <w:gridCol w:w="3547.5"/>
                      <w:gridCol w:w="3547.5"/>
                    </w:tblGrid>
                  </w:tblGridChange>
                </w:tblGrid>
                <w:tr>
                  <w:trPr>
                    <w:cantSplit w:val="0"/>
                    <w:trHeight w:val="195" w:hRule="atLeast"/>
                    <w:tblHeader w:val="0"/>
                  </w:trPr>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4. Resumen de componentes para la estimación de la incertidumbre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Componente de Incertidumbre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2">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Datos Específicos a Recolectar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Frecuencia de Recolección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4">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Fuente del Procedimiento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5">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1. Trazabilidad del Patrón de Calibración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Del certificado del cilindro de gas primario de NO:</w:t>
                      </w:r>
                    </w:p>
                    <w:p w:rsidR="00000000" w:rsidDel="00000000" w:rsidP="00000000" w:rsidRDefault="00000000" w:rsidRPr="00000000" w14:paraId="000000E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ID del Cilindro</w:t>
                      </w:r>
                    </w:p>
                    <w:p w:rsidR="00000000" w:rsidDel="00000000" w:rsidP="00000000" w:rsidRDefault="00000000" w:rsidRPr="00000000" w14:paraId="000000E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Concentración Certificada Incertidumbre Expandida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(al recibir un nuevo cilindro)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USEPA 40 CFR Part 50, App. 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2. Linealidad (Falta de Ajuste)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promedio del analizador para al menos 5 concentraciones que cubran el rango de trabajo (incluyendo cero).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o después de un mantenimiento mayor.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14211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3. Repetibilidad (Ruido a Corto Plazo)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serie de 20 lecturas consecutivas e independientes del analizador a una concentración estable y conocida.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 cada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14211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4. Estabilidad (Deriva a Largo Plazo)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cero y de un gas de span conocido.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Previo al 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EPA QA Handbook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5. Eficiencia del Convertidor de NO₂</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cuatro valores de concentración (en ppb) obtenidos del procedimiento de Titulación en Fase Gaseosa (GPT).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junto con la calibración multipunto.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USEPA 40 CFR Part 50, App. 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B">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6. Influencias Ambientales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Temperatura y presión barométrica máximas y mínimas registradas en el laboratorio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Continuamente durante el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Mejor Práctica de Laboratorio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7. Homogeneidad del Gas de Ensayo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concentración del gas de ensayo tomadas desde al menos 3 puertos diferentes del colector de distribución.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del inicio del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Protocolo AQUILA / ISO 13528</w:t>
                      </w:r>
                    </w:p>
                  </w:tc>
                </w:tr>
              </w:tbl>
            </w:sdtContent>
          </w:sdt>
          <w:p w:rsidR="00000000" w:rsidDel="00000000" w:rsidP="00000000" w:rsidRDefault="00000000" w:rsidRPr="00000000" w14:paraId="00000103">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04">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ve19poht5bi" w:id="9"/>
            <w:bookmarkEnd w:id="9"/>
            <w:r w:rsidDel="00000000" w:rsidR="00000000" w:rsidRPr="00000000">
              <w:rPr>
                <w:rFonts w:ascii="Arial" w:cs="Arial" w:eastAsia="Arial" w:hAnsi="Arial"/>
                <w:color w:val="1b1c1d"/>
                <w:sz w:val="22"/>
                <w:szCs w:val="22"/>
                <w:rtl w:val="0"/>
              </w:rPr>
              <w:t xml:space="preserve">Desviación Estándar para la Evaluación de la Aptitud (σ_pt)</w:t>
            </w:r>
          </w:p>
          <w:p w:rsidR="00000000" w:rsidDel="00000000" w:rsidP="00000000" w:rsidRDefault="00000000" w:rsidRPr="00000000" w14:paraId="0000010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w:t>
            </w:r>
          </w:p>
          <w:p w:rsidR="00000000" w:rsidDel="00000000" w:rsidP="00000000" w:rsidRDefault="00000000" w:rsidRPr="00000000" w14:paraId="00000106">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0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estimación de se hace mediante la ecuación</w:t>
            </w:r>
          </w:p>
          <w:sdt>
            <w:sdtPr>
              <w:lock w:val="contentLocked"/>
              <w:id w:val="-1216062968"/>
              <w:tag w:val="goog_rdk_6"/>
            </w:sdtPr>
            <w:sdtContent>
              <w:tbl>
                <w:tblPr>
                  <w:tblStyle w:val="Table10"/>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before="0" w:line="240" w:lineRule="auto"/>
                        <w:rPr>
                          <w:rFonts w:ascii="Arial" w:cs="Arial" w:eastAsia="Arial" w:hAnsi="Arial"/>
                          <w:color w:val="1b1c1d"/>
                          <w:sz w:val="22"/>
                          <w:szCs w:val="22"/>
                        </w:rPr>
                      </w:pPr>
                      <w:sdt>
                        <w:sdtPr>
                          <w:id w:val="1789373524"/>
                          <w:tag w:val="goog_rdk_5"/>
                        </w:sdtPr>
                        <w:sdtContent>
                          <w:r w:rsidDel="00000000" w:rsidR="00000000" w:rsidRPr="00000000">
                            <w:rPr>
                              <w:rFonts w:ascii="Arial Unicode MS" w:cs="Arial Unicode MS" w:eastAsia="Arial Unicode MS" w:hAnsi="Arial Unicode MS"/>
                              <w:color w:val="1b1c1d"/>
                              <w:sz w:val="22"/>
                              <w:szCs w:val="22"/>
                              <w:rtl w:val="0"/>
                            </w:rPr>
                            <w:t xml:space="preserve">σpt​=(a⋅Xref​)+b</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4</w:t>
                      </w:r>
                    </w:p>
                  </w:tc>
                </w:tr>
              </w:tbl>
            </w:sdtContent>
          </w:sdt>
          <w:p w:rsidR="00000000" w:rsidDel="00000000" w:rsidP="00000000" w:rsidRDefault="00000000" w:rsidRPr="00000000" w14:paraId="0000010A">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0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10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σpt es la desviación estándar para la evaluación de la aptitud.</w:t>
            </w:r>
          </w:p>
          <w:p w:rsidR="00000000" w:rsidDel="00000000" w:rsidP="00000000" w:rsidRDefault="00000000" w:rsidRPr="00000000" w14:paraId="0000010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 es la pendiente.</w:t>
            </w:r>
          </w:p>
          <w:p w:rsidR="00000000" w:rsidDel="00000000" w:rsidP="00000000" w:rsidRDefault="00000000" w:rsidRPr="00000000" w14:paraId="0000010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Xref  es el valor de referencia o valor asignado.</w:t>
            </w:r>
          </w:p>
          <w:p w:rsidR="00000000" w:rsidDel="00000000" w:rsidP="00000000" w:rsidRDefault="00000000" w:rsidRPr="00000000" w14:paraId="0000010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es el intercepto</w:t>
            </w:r>
          </w:p>
          <w:p w:rsidR="00000000" w:rsidDel="00000000" w:rsidP="00000000" w:rsidRDefault="00000000" w:rsidRPr="00000000" w14:paraId="0000011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11">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12">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1"/>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20"/>
              <w:tblGridChange w:id="0">
                <w:tblGrid>
                  <w:gridCol w:w="2340"/>
                  <w:gridCol w:w="2340"/>
                  <w:gridCol w:w="4620"/>
                </w:tblGrid>
              </w:tblGridChange>
            </w:tblGrid>
            <w:tr>
              <w:trPr>
                <w:cantSplit w:val="0"/>
                <w:trHeight w:val="315" w:hRule="atLeast"/>
                <w:tblHeader w:val="0"/>
              </w:trPr>
              <w:tc>
                <w:tcPr>
                  <w:gridSpan w:val="3"/>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5. Parámetros tabulados para la determinación de la incertidumbre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before="0" w:line="240" w:lineRule="auto"/>
                    <w:rPr>
                      <w:rFonts w:ascii="Arial" w:cs="Arial" w:eastAsia="Arial" w:hAnsi="Arial"/>
                      <w:color w:val="1b1c1d"/>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Pendiente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Intercepto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(nmol/mol)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before="0" w:line="240" w:lineRule="auto"/>
                    <w:rPr>
                      <w:rFonts w:ascii="Arial" w:cs="Arial" w:eastAsia="Arial" w:hAnsi="Arial"/>
                      <w:color w:val="1b1c1d"/>
                      <w:sz w:val="22"/>
                      <w:szCs w:val="22"/>
                      <w:vertAlign w:val="subscript"/>
                    </w:rPr>
                  </w:pPr>
                  <w:r w:rsidDel="00000000" w:rsidR="00000000" w:rsidRPr="00000000">
                    <w:rPr>
                      <w:rFonts w:ascii="Arial" w:cs="Arial" w:eastAsia="Arial" w:hAnsi="Arial"/>
                      <w:color w:val="1b1c1d"/>
                      <w:sz w:val="22"/>
                      <w:szCs w:val="22"/>
                      <w:rtl w:val="0"/>
                    </w:rPr>
                    <w:t xml:space="preserve">NO</w:t>
                  </w:r>
                  <w:r w:rsidDel="00000000" w:rsidR="00000000" w:rsidRPr="00000000">
                    <w:rPr>
                      <w:rFonts w:ascii="Arial" w:cs="Arial" w:eastAsia="Arial" w:hAnsi="Arial"/>
                      <w:color w:val="1b1c1d"/>
                      <w:sz w:val="22"/>
                      <w:szCs w:val="22"/>
                      <w:vertAlign w:val="subscript"/>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1.4</w:t>
                  </w:r>
                </w:p>
              </w:tc>
            </w:tr>
          </w:tbl>
          <w:p w:rsidR="00000000" w:rsidDel="00000000" w:rsidP="00000000" w:rsidRDefault="00000000" w:rsidRPr="00000000" w14:paraId="00000122">
            <w:pPr>
              <w:pStyle w:val="Heading2"/>
              <w:keepNext w:val="0"/>
              <w:keepLines w:val="0"/>
              <w:widowControl w:val="0"/>
              <w:spacing w:after="0" w:before="0" w:line="240" w:lineRule="auto"/>
              <w:rPr>
                <w:rFonts w:ascii="Arial" w:cs="Arial" w:eastAsia="Arial" w:hAnsi="Arial"/>
                <w:color w:val="1b1c1d"/>
                <w:sz w:val="22"/>
                <w:szCs w:val="22"/>
              </w:rPr>
            </w:pPr>
            <w:bookmarkStart w:colFirst="0" w:colLast="0" w:name="_heading=h.2gbwtnlme9m6" w:id="10"/>
            <w:bookmarkEnd w:id="10"/>
            <w:r w:rsidDel="00000000" w:rsidR="00000000" w:rsidRPr="00000000">
              <w:rPr>
                <w:rtl w:val="0"/>
              </w:rPr>
            </w:r>
          </w:p>
          <w:p w:rsidR="00000000" w:rsidDel="00000000" w:rsidP="00000000" w:rsidRDefault="00000000" w:rsidRPr="00000000" w14:paraId="00000123">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9l5cgbbbzpl0" w:id="11"/>
            <w:bookmarkEnd w:id="11"/>
            <w:r w:rsidDel="00000000" w:rsidR="00000000" w:rsidRPr="00000000">
              <w:rPr>
                <w:rFonts w:ascii="Arial" w:cs="Arial" w:eastAsia="Arial" w:hAnsi="Arial"/>
                <w:color w:val="1b1c1d"/>
                <w:sz w:val="22"/>
                <w:szCs w:val="22"/>
                <w:rtl w:val="0"/>
              </w:rPr>
              <w:t xml:space="preserve">Criterios de Desempeño y Parámetros de Evaluación Interna</w:t>
            </w:r>
          </w:p>
          <w:p w:rsidR="00000000" w:rsidDel="00000000" w:rsidP="00000000" w:rsidRDefault="00000000" w:rsidRPr="00000000" w14:paraId="0000012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se basa en el cálculo del </w:t>
            </w:r>
            <w:r w:rsidDel="00000000" w:rsidR="00000000" w:rsidRPr="00000000">
              <w:rPr>
                <w:rFonts w:ascii="Arial" w:cs="Arial" w:eastAsia="Arial" w:hAnsi="Arial"/>
                <w:i w:val="1"/>
                <w:color w:val="1b1c1d"/>
                <w:sz w:val="22"/>
                <w:szCs w:val="22"/>
                <w:rtl w:val="0"/>
              </w:rPr>
              <w:t xml:space="preserve">z-score o del z'-score</w:t>
            </w:r>
            <w:r w:rsidDel="00000000" w:rsidR="00000000" w:rsidRPr="00000000">
              <w:rPr>
                <w:rFonts w:ascii="Arial" w:cs="Arial" w:eastAsia="Arial" w:hAnsi="Arial"/>
                <w:color w:val="1b1c1d"/>
                <w:sz w:val="22"/>
                <w:szCs w:val="22"/>
                <w:rtl w:val="0"/>
              </w:rPr>
              <w:t xml:space="preserve">, dado que la incertidumbre del valor asignado puede ser significativa, así como el </w:t>
            </w:r>
            <w:r w:rsidDel="00000000" w:rsidR="00000000" w:rsidRPr="00000000">
              <w:rPr>
                <w:rFonts w:ascii="Arial" w:cs="Arial" w:eastAsia="Arial" w:hAnsi="Arial"/>
                <w:i w:val="1"/>
                <w:color w:val="1b1c1d"/>
                <w:sz w:val="22"/>
                <w:szCs w:val="22"/>
                <w:rtl w:val="0"/>
              </w:rPr>
              <w:t xml:space="preserve">En-score</w:t>
            </w:r>
            <w:r w:rsidDel="00000000" w:rsidR="00000000" w:rsidRPr="00000000">
              <w:rPr>
                <w:rFonts w:ascii="Arial" w:cs="Arial" w:eastAsia="Arial" w:hAnsi="Arial"/>
                <w:color w:val="1b1c1d"/>
                <w:sz w:val="22"/>
                <w:szCs w:val="22"/>
                <w:rtl w:val="0"/>
              </w:rPr>
              <w:t xml:space="preserve">.</w:t>
            </w:r>
          </w:p>
          <w:sdt>
            <w:sdtPr>
              <w:lock w:val="contentLocked"/>
              <w:id w:val="-1262544188"/>
              <w:tag w:val="goog_rdk_7"/>
            </w:sdtPr>
            <w:sdtContent>
              <w:tbl>
                <w:tblPr>
                  <w:tblStyle w:val="Table12"/>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304925" cy="790575"/>
                            <wp:effectExtent b="0" l="0" r="0" t="0"/>
                            <wp:docPr id="1028" name="image2.png"/>
                            <a:graphic>
                              <a:graphicData uri="http://schemas.openxmlformats.org/drawingml/2006/picture">
                                <pic:pic>
                                  <pic:nvPicPr>
                                    <pic:cNvPr id="0" name="image2.png"/>
                                    <pic:cNvPicPr preferRelativeResize="0"/>
                                  </pic:nvPicPr>
                                  <pic:blipFill>
                                    <a:blip r:embed="rId7"/>
                                    <a:srcRect b="0" l="0" r="60174" t="0"/>
                                    <a:stretch>
                                      <a:fillRect/>
                                    </a:stretch>
                                  </pic:blipFill>
                                  <pic:spPr>
                                    <a:xfrm>
                                      <a:off x="0" y="0"/>
                                      <a:ext cx="1304925" cy="7905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838325" cy="847725"/>
                            <wp:effectExtent b="0" l="0" r="0" t="0"/>
                            <wp:docPr id="103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383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6</w:t>
                      </w:r>
                    </w:p>
                  </w:tc>
                </w:tr>
              </w:tbl>
            </w:sdtContent>
          </w:sdt>
          <w:p w:rsidR="00000000" w:rsidDel="00000000" w:rsidP="00000000" w:rsidRDefault="00000000" w:rsidRPr="00000000" w14:paraId="00000129">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1743452347"/>
              <w:tag w:val="goog_rdk_8"/>
            </w:sdtPr>
            <w:sdtContent>
              <w:tbl>
                <w:tblPr>
                  <w:tblStyle w:val="Table13"/>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2204122" cy="900113"/>
                            <wp:effectExtent b="0" l="0" r="0" t="0"/>
                            <wp:docPr id="10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04122" cy="9001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7</w:t>
                      </w:r>
                    </w:p>
                  </w:tc>
                </w:tr>
              </w:tbl>
            </w:sdtContent>
          </w:sdt>
          <w:p w:rsidR="00000000" w:rsidDel="00000000" w:rsidP="00000000" w:rsidRDefault="00000000" w:rsidRPr="00000000" w14:paraId="0000012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siguiente tabla se resumen los criterios de aceptación de los indicadores de rendimiento</w:t>
            </w:r>
          </w:p>
          <w:p w:rsidR="00000000" w:rsidDel="00000000" w:rsidP="00000000" w:rsidRDefault="00000000" w:rsidRPr="00000000" w14:paraId="0000012D">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2E">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4"/>
              <w:tblW w:w="14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1115"/>
              <w:tblGridChange w:id="0">
                <w:tblGrid>
                  <w:gridCol w:w="1500"/>
                  <w:gridCol w:w="1500"/>
                  <w:gridCol w:w="11115"/>
                </w:tblGrid>
              </w:tblGridChange>
            </w:tblGrid>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before="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Tabla 6. Criterios de evaluación para los indicadores de desempeño del EA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Indicador de Rendimiento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z/z'-score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before="0" w:line="240" w:lineRule="auto"/>
                    <w:rPr>
                      <w:rFonts w:ascii="Arial" w:cs="Arial" w:eastAsia="Arial" w:hAnsi="Arial"/>
                      <w:sz w:val="22"/>
                      <w:szCs w:val="22"/>
                    </w:rPr>
                  </w:pPr>
                  <w:sdt>
                    <w:sdtPr>
                      <w:id w:val="-947823643"/>
                      <w:tag w:val="goog_rdk_9"/>
                    </w:sdtPr>
                    <w:sdtContent>
                      <w:r w:rsidDel="00000000" w:rsidR="00000000" w:rsidRPr="00000000">
                        <w:rPr>
                          <w:rFonts w:ascii="Arial Unicode MS" w:cs="Arial Unicode MS" w:eastAsia="Arial Unicode MS" w:hAnsi="Arial Unicode MS"/>
                          <w:sz w:val="22"/>
                          <w:szCs w:val="22"/>
                          <w:rtl w:val="0"/>
                        </w:rPr>
                        <w:t xml:space="preserve">|z/z'| ≤ 2</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Aproximadamente el 95% de los z-scores deberían caer entre -2 y +2.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&lt; |z/z'| &lt; 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cuestionable. Se espera que ocurran aproximadamente 1 de cada 20 veces. Estos valores merecen una revisión específica.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before="0" w:line="240" w:lineRule="auto"/>
                    <w:rPr>
                      <w:rFonts w:ascii="Arial" w:cs="Arial" w:eastAsia="Arial" w:hAnsi="Arial"/>
                      <w:sz w:val="22"/>
                      <w:szCs w:val="22"/>
                    </w:rPr>
                  </w:pPr>
                  <w:sdt>
                    <w:sdtPr>
                      <w:id w:val="1408145293"/>
                      <w:tag w:val="goog_rdk_10"/>
                    </w:sdtPr>
                    <w:sdtContent>
                      <w:r w:rsidDel="00000000" w:rsidR="00000000" w:rsidRPr="00000000">
                        <w:rPr>
                          <w:rFonts w:ascii="Arial Unicode MS" w:cs="Arial Unicode MS" w:eastAsia="Arial Unicode MS" w:hAnsi="Arial Unicode MS"/>
                          <w:sz w:val="22"/>
                          <w:szCs w:val="22"/>
                          <w:rtl w:val="0"/>
                        </w:rPr>
                        <w:t xml:space="preserve">|z/z'| ≥ 3</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 Los resultados en este rango son muy inusuales y se toman como evidencia de que ha ocurrido una anomalía que debe ser investigada y corregida.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 &lt; 1</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Los resultados son satisfactorios si las barras de error tocan o cruzan el eje x (o la línea roja que representa el valor de referencia en informes más recientes).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before="0" w:line="240" w:lineRule="auto"/>
                    <w:rPr>
                      <w:rFonts w:ascii="Arial" w:cs="Arial" w:eastAsia="Arial" w:hAnsi="Arial"/>
                      <w:sz w:val="22"/>
                      <w:szCs w:val="22"/>
                    </w:rPr>
                  </w:pPr>
                  <w:sdt>
                    <w:sdtPr>
                      <w:id w:val="-2078747854"/>
                      <w:tag w:val="goog_rdk_11"/>
                    </w:sdtPr>
                    <w:sdtContent>
                      <w:r w:rsidDel="00000000" w:rsidR="00000000" w:rsidRPr="00000000">
                        <w:rPr>
                          <w:rFonts w:ascii="Arial Unicode MS" w:cs="Arial Unicode MS" w:eastAsia="Arial Unicode MS" w:hAnsi="Arial Unicode MS"/>
                          <w:sz w:val="22"/>
                          <w:szCs w:val="22"/>
                          <w:rtl w:val="0"/>
                        </w:rPr>
                        <w:t xml:space="preserve">|En-score| ≥ 1</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w:t>
                  </w:r>
                </w:p>
              </w:tc>
            </w:tr>
          </w:tbl>
          <w:p w:rsidR="00000000" w:rsidDel="00000000" w:rsidP="00000000" w:rsidRDefault="00000000" w:rsidRPr="00000000" w14:paraId="00000144">
            <w:pPr>
              <w:pStyle w:val="Heading1"/>
              <w:keepNext w:val="0"/>
              <w:keepLines w:val="0"/>
              <w:widowControl w:val="0"/>
              <w:spacing w:after="0" w:before="0" w:line="240" w:lineRule="auto"/>
              <w:rPr>
                <w:rFonts w:ascii="Arial" w:cs="Arial" w:eastAsia="Arial" w:hAnsi="Arial"/>
                <w:b w:val="0"/>
                <w:color w:val="1b1c1d"/>
                <w:sz w:val="22"/>
                <w:szCs w:val="22"/>
              </w:rPr>
            </w:pPr>
            <w:bookmarkStart w:colFirst="0" w:colLast="0" w:name="_heading=h.9cclhkpfnehv" w:id="12"/>
            <w:bookmarkEnd w:id="12"/>
            <w:r w:rsidDel="00000000" w:rsidR="00000000" w:rsidRPr="00000000">
              <w:rPr>
                <w:rtl w:val="0"/>
              </w:rPr>
            </w:r>
          </w:p>
          <w:p w:rsidR="00000000" w:rsidDel="00000000" w:rsidP="00000000" w:rsidRDefault="00000000" w:rsidRPr="00000000" w14:paraId="00000145">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2hvl1bgrhbkp" w:id="13"/>
            <w:bookmarkEnd w:id="13"/>
            <w:r w:rsidDel="00000000" w:rsidR="00000000" w:rsidRPr="00000000">
              <w:rPr>
                <w:rFonts w:ascii="Arial" w:cs="Arial" w:eastAsia="Arial" w:hAnsi="Arial"/>
                <w:color w:val="1b1c1d"/>
                <w:sz w:val="22"/>
                <w:szCs w:val="22"/>
                <w:rtl w:val="0"/>
              </w:rPr>
              <w:t xml:space="preserve">Presentación Gráfica de Resultados</w:t>
            </w:r>
          </w:p>
          <w:p w:rsidR="00000000" w:rsidDel="00000000" w:rsidP="00000000" w:rsidRDefault="00000000" w:rsidRPr="00000000" w14:paraId="00000146">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Para el análisis de resultados, se usan gráficos de barras (z/z' para puntuaciones con límites satisfactorios/cuestionables/insatisfactorios), gráficos de sesgo y barras de error (puntuaciones En, satisfactorio si la barra de error cruza el eje x), y gráficos de repetibilidad/reproducibilidad (evalúan precisión y tendencias, comparando límites grupales con criterios de normas europeas).</w:t>
            </w:r>
            <w:r w:rsidDel="00000000" w:rsidR="00000000" w:rsidRPr="00000000">
              <w:rPr>
                <w:rtl w:val="0"/>
              </w:rPr>
            </w:r>
          </w:p>
          <w:p w:rsidR="00000000" w:rsidDel="00000000" w:rsidP="00000000" w:rsidRDefault="00000000" w:rsidRPr="00000000" w14:paraId="00000147">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48">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carga de datos, los participantes pueden cometer "blunders" como errores de tipeo, decimales, formato o asignación.</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Aunque los sistemas web son seguros, estos errores humanos persisten.</w:t>
            </w:r>
            <w:r w:rsidDel="00000000" w:rsidR="00000000" w:rsidRPr="00000000">
              <w:rPr>
                <w:rFonts w:ascii="Arial" w:cs="Arial" w:eastAsia="Arial" w:hAnsi="Arial"/>
                <w:color w:val="1b1c1d"/>
                <w:sz w:val="22"/>
                <w:szCs w:val="22"/>
                <w:rtl w:val="0"/>
              </w:rPr>
              <w:t xml:space="preserve"> </w:t>
            </w:r>
            <w:r w:rsidDel="00000000" w:rsidR="00000000" w:rsidRPr="00000000">
              <w:rPr>
                <w:rFonts w:ascii="Arial" w:cs="Arial" w:eastAsia="Arial" w:hAnsi="Arial"/>
                <w:color w:val="1b1c1d"/>
                <w:sz w:val="22"/>
                <w:szCs w:val="22"/>
                <w:rtl w:val="0"/>
              </w:rPr>
              <w:t xml:space="preserve">Si se detectan, se contacta a los participantes para corregirlos antes del informe final.</w:t>
            </w:r>
            <w:r w:rsidDel="00000000" w:rsidR="00000000" w:rsidRPr="00000000">
              <w:rPr>
                <w:rtl w:val="0"/>
              </w:rPr>
            </w:r>
          </w:p>
          <w:p w:rsidR="00000000" w:rsidDel="00000000" w:rsidP="00000000" w:rsidRDefault="00000000" w:rsidRPr="00000000" w14:paraId="00000149">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4A">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72dwevqtpcoq" w:id="14"/>
            <w:bookmarkEnd w:id="14"/>
            <w:r w:rsidDel="00000000" w:rsidR="00000000" w:rsidRPr="00000000">
              <w:rPr>
                <w:rFonts w:ascii="Arial" w:cs="Arial" w:eastAsia="Arial" w:hAnsi="Arial"/>
                <w:color w:val="1b1c1d"/>
                <w:sz w:val="22"/>
                <w:szCs w:val="22"/>
                <w:rtl w:val="0"/>
              </w:rPr>
              <w:t xml:space="preserve">Contenido del Informe</w:t>
            </w:r>
          </w:p>
          <w:p w:rsidR="00000000" w:rsidDel="00000000" w:rsidP="00000000" w:rsidRDefault="00000000" w:rsidRPr="00000000" w14:paraId="0000014B">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informe de ensayo de aptitud se elabora de acuerdo al </w:t>
            </w:r>
            <w:r w:rsidDel="00000000" w:rsidR="00000000" w:rsidRPr="00000000">
              <w:rPr>
                <w:rFonts w:ascii="Arial" w:cs="Arial" w:eastAsia="Arial" w:hAnsi="Arial"/>
                <w:sz w:val="22"/>
                <w:szCs w:val="22"/>
                <w:rtl w:val="0"/>
              </w:rPr>
              <w:t xml:space="preserve">P-PSEA-06 Procedimiento de Elaboración de Informe de Resultados.</w:t>
            </w:r>
            <w:r w:rsidDel="00000000" w:rsidR="00000000" w:rsidRPr="00000000">
              <w:rPr>
                <w:rtl w:val="0"/>
              </w:rPr>
            </w:r>
          </w:p>
          <w:p w:rsidR="00000000" w:rsidDel="00000000" w:rsidP="00000000" w:rsidRDefault="00000000" w:rsidRPr="00000000" w14:paraId="0000014C">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4D">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15"/>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14E">
            <w:pPr>
              <w:spacing w:after="120" w:before="120" w:line="24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14F">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150">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151">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152">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153">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154">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155">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156">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157">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158">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159">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15A">
      <w:pPr>
        <w:spacing w:after="120" w:line="240" w:lineRule="auto"/>
        <w:jc w:val="both"/>
        <w:rPr>
          <w:rFonts w:ascii="Arial" w:cs="Arial" w:eastAsia="Arial" w:hAnsi="Arial"/>
          <w:sz w:val="22"/>
          <w:szCs w:val="22"/>
          <w:vertAlign w:val="baseline"/>
        </w:rPr>
      </w:pPr>
      <w:r w:rsidDel="00000000" w:rsidR="00000000" w:rsidRPr="00000000">
        <w:rPr>
          <w:rtl w:val="0"/>
        </w:rPr>
      </w:r>
    </w:p>
    <w:sectPr>
      <w:headerReference r:id="rId10"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6"/>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29" name="image1.png"/>
                <a:graphic>
                  <a:graphicData uri="http://schemas.openxmlformats.org/drawingml/2006/picture">
                    <pic:pic>
                      <pic:nvPicPr>
                        <pic:cNvPr descr="Sin título" id="0" name="image1.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Código: P-PSEA-01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sz w:val="20"/>
              <w:szCs w:val="20"/>
              <w:vertAlign w:val="subscript"/>
            </w:rPr>
          </w:pPr>
          <w:r w:rsidDel="00000000" w:rsidR="00000000" w:rsidRPr="00000000">
            <w:rPr>
              <w:rFonts w:ascii="Arial" w:cs="Arial" w:eastAsia="Arial" w:hAnsi="Arial"/>
              <w:b w:val="1"/>
              <w:sz w:val="20"/>
              <w:szCs w:val="20"/>
              <w:rtl w:val="0"/>
            </w:rPr>
            <w:t xml:space="preserve">PROCEDIMIENTO DE ENSAYO DE APTITUD PARA NO-NO</w:t>
          </w:r>
          <w:r w:rsidDel="00000000" w:rsidR="00000000" w:rsidRPr="00000000">
            <w:rPr>
              <w:rFonts w:ascii="Arial" w:cs="Arial" w:eastAsia="Arial" w:hAnsi="Arial"/>
              <w:b w:val="1"/>
              <w:sz w:val="20"/>
              <w:szCs w:val="20"/>
              <w:vertAlign w:val="subscript"/>
              <w:rtl w:val="0"/>
            </w:rPr>
            <w:t xml:space="preserve">2</w:t>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i w:val="0"/>
        <w:vertAlign w:val="baseline"/>
      </w:rPr>
    </w:lvl>
    <w:lvl w:ilvl="1">
      <w:start w:val="2"/>
      <w:numFmt w:val="decimal"/>
      <w:lvlText w:val="%1.%2."/>
      <w:lvlJc w:val="left"/>
      <w:pPr>
        <w:ind w:left="792" w:hanging="432"/>
      </w:pPr>
      <w:rPr>
        <w:b w:val="1"/>
        <w:vertAlign w:val="baseline"/>
      </w:rPr>
    </w:lvl>
    <w:lvl w:ilvl="2">
      <w:start w:val="1"/>
      <w:numFmt w:val="decimal"/>
      <w:lvlText w:val="%1.%2.%3."/>
      <w:lvlJc w:val="left"/>
      <w:pPr>
        <w:ind w:left="1224" w:hanging="504"/>
      </w:pPr>
      <w:rPr>
        <w:b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jNe/NovmvE/gv0/faBs9XLlNQ==">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