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1d6a75620f0fbc1e114a6a10ff237ecf972477"/>
    <w:p>
      <w:pPr>
        <w:pStyle w:val="Heading1"/>
      </w:pPr>
      <w:r>
        <w:t xml:space="preserve">I-PSEA-03: Instructivo de administracion de rondas en calaire-app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I-PSEA-03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administracion de rondas en calaire-app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el uso interno de calaire-app para configurar, administrar y controlar rondas de ensayo de aptitud: calendario, cronograma, ficha digital de ronda, participantes, comunicaciones operativas, exportaciones y casos SGC cuando aplique.</w: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al personal autorizado que administra rondas en calaire-app.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Configuracion inicial de una ronda.</w:t>
      </w:r>
    </w:p>
    <w:p>
      <w:pPr>
        <w:pStyle w:val="Compact"/>
        <w:numPr>
          <w:ilvl w:val="0"/>
          <w:numId w:val="1001"/>
        </w:numPr>
      </w:pPr>
      <w:r>
        <w:t xml:space="preserve">Gestion de calendario global y cronograma detallado.</w:t>
      </w:r>
    </w:p>
    <w:p>
      <w:pPr>
        <w:pStyle w:val="Compact"/>
        <w:numPr>
          <w:ilvl w:val="0"/>
          <w:numId w:val="1001"/>
        </w:numPr>
      </w:pPr>
      <w:r>
        <w:t xml:space="preserve">Registro y gestion de participantes.</w:t>
      </w:r>
    </w:p>
    <w:p>
      <w:pPr>
        <w:pStyle w:val="Compact"/>
        <w:numPr>
          <w:ilvl w:val="0"/>
          <w:numId w:val="1001"/>
        </w:numPr>
      </w:pPr>
      <w:r>
        <w:t xml:space="preserve">Generacion y control de la ficha digital de ronda.</w:t>
      </w:r>
    </w:p>
    <w:p>
      <w:pPr>
        <w:pStyle w:val="Compact"/>
        <w:numPr>
          <w:ilvl w:val="0"/>
          <w:numId w:val="1001"/>
        </w:numPr>
      </w:pPr>
      <w:r>
        <w:t xml:space="preserve">Envio de comunicaciones operativas.</w:t>
      </w:r>
    </w:p>
    <w:p>
      <w:pPr>
        <w:pStyle w:val="Compact"/>
        <w:numPr>
          <w:ilvl w:val="0"/>
          <w:numId w:val="1001"/>
        </w:numPr>
      </w:pPr>
      <w:r>
        <w:t xml:space="preserve">Exportacion de datos hacia pt_app.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 o NC, cuando aplique.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tecnicos o estadisticos del PEA (P-PSEA-07).</w:t>
      </w:r>
    </w:p>
    <w:p>
      <w:pPr>
        <w:pStyle w:val="Compact"/>
        <w:numPr>
          <w:ilvl w:val="0"/>
          <w:numId w:val="1002"/>
        </w:numPr>
      </w:pPr>
      <w:r>
        <w:t xml:space="preserve">Procedimiento formal de planificacion de ronda (P-PSEA-04).</w:t>
      </w:r>
    </w:p>
    <w:p>
      <w:pPr>
        <w:pStyle w:val="Compact"/>
        <w:numPr>
          <w:ilvl w:val="0"/>
          <w:numId w:val="1002"/>
        </w:numPr>
      </w:pPr>
      <w:r>
        <w:t xml:space="preserve">Gestion formal de comunicaciones, quejas o NC/CAPA (P-PSEA-05, P-PSEA-17, P-PSEA-16).</w:t>
      </w:r>
    </w:p>
    <w:p>
      <w:pPr>
        <w:pStyle w:val="Compact"/>
        <w:numPr>
          <w:ilvl w:val="0"/>
          <w:numId w:val="1002"/>
        </w:numPr>
      </w:pPr>
      <w:r>
        <w:t xml:space="preserve">Uso del aplicativo por el participante (I-PSEA-02).</w:t>
      </w:r>
    </w:p>
    <w:p>
      <w:pPr>
        <w:pStyle w:val="Compact"/>
        <w:numPr>
          <w:ilvl w:val="0"/>
          <w:numId w:val="1002"/>
        </w:numPr>
      </w:pPr>
      <w:r>
        <w:t xml:space="preserve">Preprocesamiento o analisis en pt_app (I-PSEA-04, I-PSEA-05).</w:t>
      </w:r>
    </w:p>
    <w:bookmarkEnd w:id="12"/>
    <w:bookmarkStart w:id="13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 ronda</w:t>
            </w:r>
          </w:p>
        </w:tc>
        <w:tc>
          <w:tcPr/>
          <w:p>
            <w:pPr>
              <w:pStyle w:val="Compact"/>
            </w:pPr>
            <w:r>
              <w:t xml:space="preserve">Crear y configurar rondas, gestionar participantes y comunicaciones.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Aprobar calendario, cronograma y ficha digital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Ejecutar exportaciones oficiales hacia pt_app y asegurar su trazabilidad.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casos SGC</w:t>
            </w:r>
          </w:p>
        </w:tc>
        <w:tc>
          <w:tcPr/>
          <w:p>
            <w:pPr>
              <w:pStyle w:val="Compact"/>
            </w:pPr>
            <w:r>
              <w:t xml:space="preserve">Registrar y dar seguimiento a casos de queja o NC en calaire-app.</w:t>
            </w:r>
          </w:p>
        </w:tc>
      </w:tr>
    </w:tbl>
    <w:p>
      <w:pPr>
        <w:pStyle w:val="BodyText"/>
      </w:pPr>
      <w:r>
        <w:t xml:space="preserve">El personal autorizado usa calaire-app bajo lo definido en DG-PSEA-02, P-PSEA-04 y P-PSEA-05.</w:t>
      </w:r>
    </w:p>
    <w:bookmarkEnd w:id="13"/>
    <w:bookmarkStart w:id="14" w:name="entradas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</w:tbl>
    <w:bookmarkEnd w:id="14"/>
    <w:bookmarkStart w:id="15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actualizado.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actualizado.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Exportacion de datos de participantes hacia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NC, si aplica.</w:t>
            </w:r>
          </w:p>
        </w:tc>
      </w:tr>
    </w:tbl>
    <w:bookmarkEnd w:id="15"/>
    <w:bookmarkStart w:id="16" w:name="procedimiento-resumido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Crear la ronda en calaire-app con su codigo, periodo, analito(s) y niveles.</w:t>
      </w:r>
    </w:p>
    <w:p>
      <w:pPr>
        <w:pStyle w:val="Compact"/>
        <w:numPr>
          <w:ilvl w:val="0"/>
          <w:numId w:val="1003"/>
        </w:numPr>
      </w:pPr>
      <w:r>
        <w:t xml:space="preserve">Configurar el calendario global (F-PSEA-01) y el cronograma detallado (F-PSEA-02).</w:t>
      </w:r>
    </w:p>
    <w:p>
      <w:pPr>
        <w:pStyle w:val="Compact"/>
        <w:numPr>
          <w:ilvl w:val="0"/>
          <w:numId w:val="1003"/>
        </w:numPr>
      </w:pPr>
      <w:r>
        <w:t xml:space="preserve">Registrar o importar los laboratorios participantes y enviar invitaciones.</w:t>
      </w:r>
    </w:p>
    <w:p>
      <w:pPr>
        <w:pStyle w:val="Compact"/>
        <w:numPr>
          <w:ilvl w:val="0"/>
          <w:numId w:val="1003"/>
        </w:numPr>
      </w:pPr>
      <w:r>
        <w:t xml:space="preserve">Generar y controlar la ficha digital de ronda (F-PSEA-06).</w:t>
      </w:r>
    </w:p>
    <w:p>
      <w:pPr>
        <w:pStyle w:val="Compact"/>
        <w:numPr>
          <w:ilvl w:val="0"/>
          <w:numId w:val="1003"/>
        </w:numPr>
      </w:pPr>
      <w:r>
        <w:t xml:space="preserve">Enviar comunicaciones operativas segun el cronograma.</w:t>
      </w:r>
    </w:p>
    <w:p>
      <w:pPr>
        <w:pStyle w:val="Compact"/>
        <w:numPr>
          <w:ilvl w:val="0"/>
          <w:numId w:val="1003"/>
        </w:numPr>
      </w:pPr>
      <w:r>
        <w:t xml:space="preserve">Monitorear el registro de datos y equipos por parte de los participantes.</w:t>
      </w:r>
    </w:p>
    <w:p>
      <w:pPr>
        <w:pStyle w:val="Compact"/>
        <w:numPr>
          <w:ilvl w:val="0"/>
          <w:numId w:val="1003"/>
        </w:numPr>
      </w:pPr>
      <w:r>
        <w:t xml:space="preserve">Ejecutar la exportacion oficial de datos (F-PSEA-09) hacia pt_app.</w:t>
      </w:r>
    </w:p>
    <w:p>
      <w:pPr>
        <w:pStyle w:val="Compact"/>
        <w:numPr>
          <w:ilvl w:val="0"/>
          <w:numId w:val="1003"/>
        </w:numPr>
      </w:pPr>
      <w:r>
        <w:t xml:space="preserve">Registrar casos SGC de queja o NC cuando aplique.</w:t>
      </w:r>
    </w:p>
    <w:bookmarkEnd w:id="16"/>
    <w:bookmarkStart w:id="17" w:name="campos-minimos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La administracion de una ronda debe controlar como minimo:</w:t>
      </w:r>
    </w:p>
    <w:p>
      <w:pPr>
        <w:pStyle w:val="Compact"/>
        <w:numPr>
          <w:ilvl w:val="0"/>
          <w:numId w:val="1004"/>
        </w:numPr>
      </w:pPr>
      <w:r>
        <w:t xml:space="preserve">Codigo, nombre y version de la ronda.</w:t>
      </w:r>
    </w:p>
    <w:p>
      <w:pPr>
        <w:pStyle w:val="Compact"/>
        <w:numPr>
          <w:ilvl w:val="0"/>
          <w:numId w:val="1004"/>
        </w:numPr>
      </w:pPr>
      <w:r>
        <w:t xml:space="preserve">Periodo de ejecucion y fechas criticas.</w:t>
      </w:r>
    </w:p>
    <w:p>
      <w:pPr>
        <w:pStyle w:val="Compact"/>
        <w:numPr>
          <w:ilvl w:val="0"/>
          <w:numId w:val="1004"/>
        </w:numPr>
      </w:pPr>
      <w:r>
        <w:t xml:space="preserve">Analito(s) y niveles de concentracion.</w:t>
      </w:r>
    </w:p>
    <w:p>
      <w:pPr>
        <w:pStyle w:val="Compact"/>
        <w:numPr>
          <w:ilvl w:val="0"/>
          <w:numId w:val="1004"/>
        </w:numPr>
      </w:pPr>
      <w:r>
        <w:t xml:space="preserve">Lista de participantes y estado de confirmacion.</w:t>
      </w:r>
    </w:p>
    <w:p>
      <w:pPr>
        <w:pStyle w:val="Compact"/>
        <w:numPr>
          <w:ilvl w:val="0"/>
          <w:numId w:val="1004"/>
        </w:numPr>
      </w:pPr>
      <w:r>
        <w:t xml:space="preserve">Version del calendario global y cronograma detallado.</w:t>
      </w:r>
    </w:p>
    <w:p>
      <w:pPr>
        <w:pStyle w:val="Compact"/>
        <w:numPr>
          <w:ilvl w:val="0"/>
          <w:numId w:val="1004"/>
        </w:numPr>
      </w:pPr>
      <w:r>
        <w:t xml:space="preserve">Version de la ficha digital de ronda (F-PSEA-06).</w:t>
      </w:r>
    </w:p>
    <w:p>
      <w:pPr>
        <w:pStyle w:val="Compact"/>
        <w:numPr>
          <w:ilvl w:val="0"/>
          <w:numId w:val="1004"/>
        </w:numPr>
      </w:pPr>
      <w:r>
        <w:t xml:space="preserve">Identificador de la exportacion oficial hacia pt_app (F-PSEA-09).</w:t>
      </w:r>
    </w:p>
    <w:p>
      <w:pPr>
        <w:pStyle w:val="Compact"/>
        <w:numPr>
          <w:ilvl w:val="0"/>
          <w:numId w:val="1004"/>
        </w:numPr>
      </w:pPr>
      <w:r>
        <w:t xml:space="preserve">Registro de casos SGC, si aplica.</w:t>
      </w:r>
    </w:p>
    <w:bookmarkEnd w:id="17"/>
    <w:bookmarkStart w:id="18" w:name="controles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Los cambios en calendario o cronograma deben estar justificados y comunicados.</w:t>
      </w:r>
    </w:p>
    <w:p>
      <w:pPr>
        <w:pStyle w:val="Compact"/>
        <w:numPr>
          <w:ilvl w:val="0"/>
          <w:numId w:val="1005"/>
        </w:numPr>
      </w:pPr>
      <w:r>
        <w:t xml:space="preserve">La ficha digital de ronda (F-PSEA-06) debe reflejar lo definido en P-PSEA-04.</w:t>
      </w:r>
    </w:p>
    <w:p>
      <w:pPr>
        <w:pStyle w:val="Compact"/>
        <w:numPr>
          <w:ilvl w:val="0"/>
          <w:numId w:val="1005"/>
        </w:numPr>
      </w:pPr>
      <w:r>
        <w:t xml:space="preserve">La exportacion hacia pt_app debe ser la version oficial y conservarse como F-PSEA-09.</w:t>
      </w:r>
    </w:p>
    <w:p>
      <w:pPr>
        <w:pStyle w:val="Compact"/>
        <w:numPr>
          <w:ilvl w:val="0"/>
          <w:numId w:val="1005"/>
        </w:numPr>
      </w:pPr>
      <w:r>
        <w:t xml:space="preserve">Los casos SGC de queja deben alinearse con P-PSEA-17 y escalar a P-PSEA-16 cuando deriven en NC/CAPA.</w:t>
      </w:r>
    </w:p>
    <w:p>
      <w:pPr>
        <w:pStyle w:val="Compact"/>
        <w:numPr>
          <w:ilvl w:val="0"/>
          <w:numId w:val="1005"/>
        </w:numPr>
      </w:pPr>
      <w:r>
        <w:t xml:space="preserve">El acceso administrativo debe estar restringido a roles autorizados.</w:t>
      </w:r>
    </w:p>
    <w:bookmarkEnd w:id="18"/>
    <w:bookmarkStart w:id="19" w:name="relaciones-documentales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que se administra.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operativas.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recibe exportaciones.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generada en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del participante.</w:t>
            </w:r>
          </w:p>
        </w:tc>
      </w:tr>
    </w:tbl>
    <w:bookmarkEnd w:id="19"/>
    <w:bookmarkStart w:id="20" w:name="limites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P-PSEA-04; solo explica como ejecutar en el aplicativo lo definido por el procedimiento.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 ni analisis de resultados.</w:t>
      </w:r>
    </w:p>
    <w:p>
      <w:pPr>
        <w:pStyle w:val="Compact"/>
        <w:numPr>
          <w:ilvl w:val="0"/>
          <w:numId w:val="1006"/>
        </w:numPr>
      </w:pPr>
      <w:r>
        <w:t xml:space="preserve">No reemplaza I-PSEA-02, que cubre el uso del participante.</w:t>
      </w:r>
    </w:p>
    <w:p>
      <w:pPr>
        <w:pStyle w:val="Compact"/>
        <w:numPr>
          <w:ilvl w:val="0"/>
          <w:numId w:val="1006"/>
        </w:numPr>
      </w:pPr>
      <w:r>
        <w:t xml:space="preserve">No gobierna quejas o apelaciones; solo puede explicar el registro operativo de casos cuando aplique.</w:t>
      </w:r>
    </w:p>
    <w:p>
      <w:pPr>
        <w:pStyle w:val="Compact"/>
        <w:numPr>
          <w:ilvl w:val="0"/>
          <w:numId w:val="1006"/>
        </w:numPr>
      </w:pPr>
      <w:r>
        <w:t xml:space="preserve">No cubre el uso de pt_app; el analisis se documenta en I-PSEA-04 e I-PSEA-05.</w:t>
      </w:r>
    </w:p>
    <w:bookmarkEnd w:id="20"/>
    <w:bookmarkEnd w:id="21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drawing>
              <wp:inline distT="0" distB="0" distL="0" distR="0">
                <wp:extent cx="1257935" cy="533400"/>
                <wp:effectExtent l="0" t="0" r="0" b="0"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37" r="-19" b="148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935" cy="53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I-PSEA-03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INSTRUCTIVO ADMINISTRACION RONDAS CALAIRE-APP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WW8Num1z0" w:type="character">
    <w:name w:val="WW8Num1z0"/>
    <w:qFormat/>
    <w:rPr>
      <w:rFonts w:ascii="Symbol" w:cs="Symbol" w:hAnsi="Symbol"/>
    </w:rPr>
  </w:style>
  <w:style w:styleId="WW8Num1z1" w:type="character">
    <w:name w:val="WW8Num1z1"/>
    <w:qFormat/>
    <w:rPr>
      <w:rFonts w:ascii="Courier New" w:cs="Courier New" w:hAnsi="Courier New"/>
    </w:rPr>
  </w:style>
  <w:style w:styleId="WW8Num1z2" w:type="character">
    <w:name w:val="WW8Num1z2"/>
    <w:qFormat/>
    <w:rPr>
      <w:rFonts w:ascii="Wingdings" w:cs="Wingdings" w:hAnsi="Wingdings"/>
    </w:rPr>
  </w:style>
  <w:style w:styleId="WW8Num2z0" w:type="character">
    <w:name w:val="WW8Num2z0"/>
    <w:qFormat/>
    <w:rPr>
      <w:b/>
    </w:rPr>
  </w:style>
  <w:style w:styleId="WW8Num4z0" w:type="character">
    <w:name w:val="WW8Num4z0"/>
    <w:qFormat/>
    <w:rPr>
      <w:rFonts w:ascii="Symbol" w:cs="Symbol" w:hAnsi="Symbol"/>
    </w:rPr>
  </w:style>
  <w:style w:styleId="WW8Num4z1" w:type="character">
    <w:name w:val="WW8Num4z1"/>
    <w:qFormat/>
    <w:rPr>
      <w:rFonts w:ascii="Courier New" w:cs="Courier New" w:hAnsi="Courier New"/>
    </w:rPr>
  </w:style>
  <w:style w:styleId="WW8Num4z2" w:type="character">
    <w:name w:val="WW8Num4z2"/>
    <w:qFormat/>
    <w:rPr>
      <w:rFonts w:ascii="Wingdings" w:cs="Wingdings" w:hAnsi="Wingdings"/>
    </w:rPr>
  </w:style>
  <w:style w:styleId="WW8Num5z1" w:type="character">
    <w:name w:val="WW8Num5z1"/>
    <w:qFormat/>
    <w:rPr>
      <w:b w:val="false"/>
    </w:rPr>
  </w:style>
  <w:style w:styleId="WW8Num7z0" w:type="character">
    <w:name w:val="WW8Num7z0"/>
    <w:qFormat/>
    <w:rPr>
      <w:b w:val="false"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5" w:type="character">
    <w:name w:val="WW8Num8z5"/>
    <w:qFormat/>
    <w:rPr>
      <w:rFonts w:ascii="Wingdings" w:cs="Wingdings" w:hAnsi="Wingdings"/>
    </w:rPr>
  </w:style>
  <w:style w:styleId="WW8Num9z0" w:type="character">
    <w:name w:val="WW8Num9z0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9z3" w:type="character">
    <w:name w:val="WW8Num9z3"/>
    <w:qFormat/>
    <w:rPr>
      <w:rFonts w:ascii="Symbol" w:cs="Symbol" w:hAnsi="Symbol"/>
    </w:rPr>
  </w:style>
  <w:style w:styleId="WW8Num10z0" w:type="character">
    <w:name w:val="WW8Num10z0"/>
    <w:qFormat/>
    <w:rPr>
      <w:rFonts w:ascii="Symbol" w:cs="Symbol" w:hAnsi="Symbol"/>
    </w:rPr>
  </w:style>
  <w:style w:styleId="WW8Num10z1" w:type="character">
    <w:name w:val="WW8Num10z1"/>
    <w:qFormat/>
    <w:rPr>
      <w:rFonts w:ascii="Courier New" w:cs="Courier New" w:hAnsi="Courier New"/>
    </w:rPr>
  </w:style>
  <w:style w:styleId="WW8Num10z2" w:type="character">
    <w:name w:val="WW8Num10z2"/>
    <w:qFormat/>
    <w:rPr>
      <w:rFonts w:ascii="Wingdings" w:cs="Wingdings" w:hAnsi="Wingdings"/>
    </w:rPr>
  </w:style>
  <w:style w:styleId="WW8Num11z0" w:type="character">
    <w:name w:val="WW8Num11z0"/>
    <w:qFormat/>
    <w:rPr>
      <w:b/>
      <w:i w:val="false"/>
    </w:rPr>
  </w:style>
  <w:style w:styleId="WW8Num12z0" w:type="character">
    <w:name w:val="WW8Num12z0"/>
    <w:qFormat/>
    <w:rPr>
      <w:rFonts w:ascii="Symbol" w:cs="Symbol" w:hAnsi="Symbol"/>
    </w:rPr>
  </w:style>
  <w:style w:styleId="WW8Num12z1" w:type="character">
    <w:name w:val="WW8Num12z1"/>
    <w:qFormat/>
    <w:rPr>
      <w:rFonts w:ascii="Courier New" w:cs="Courier New" w:hAnsi="Courier New"/>
    </w:rPr>
  </w:style>
  <w:style w:styleId="WW8Num12z2" w:type="character">
    <w:name w:val="WW8Num12z2"/>
    <w:qFormat/>
    <w:rPr>
      <w:rFonts w:ascii="Wingdings" w:cs="Wingdings" w:hAnsi="Wingdings"/>
    </w:rPr>
  </w:style>
  <w:style w:styleId="WW8Num13z0" w:type="character">
    <w:name w:val="WW8Num13z0"/>
    <w:qFormat/>
    <w:rPr>
      <w:b w:val="false"/>
    </w:rPr>
  </w:style>
  <w:style w:styleId="WW8Num14z0" w:type="character">
    <w:name w:val="WW8Num14z0"/>
    <w:qFormat/>
    <w:rPr>
      <w:b/>
    </w:rPr>
  </w:style>
  <w:style w:styleId="WW8Num15z0" w:type="character">
    <w:name w:val="WW8Num15z0"/>
    <w:qFormat/>
    <w:rPr>
      <w:b/>
      <w:i w:val="false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9z0" w:type="character">
    <w:name w:val="WW8Num19z0"/>
    <w:qFormat/>
    <w:rPr>
      <w:b/>
      <w:i w:val="false"/>
    </w:rPr>
  </w:style>
  <w:style w:styleId="WW8Num19z1" w:type="character">
    <w:name w:val="WW8Num19z1"/>
    <w:qFormat/>
    <w:rPr/>
  </w:style>
  <w:style w:styleId="WW8Num20z0" w:type="character">
    <w:name w:val="WW8Num20z0"/>
    <w:qFormat/>
    <w:rPr>
      <w:rFonts w:ascii="Symbol" w:cs="Symbol" w:hAnsi="Symbol"/>
    </w:rPr>
  </w:style>
  <w:style w:styleId="WW8Num20z1" w:type="character">
    <w:name w:val="WW8Num20z1"/>
    <w:qFormat/>
    <w:rPr>
      <w:rFonts w:ascii="Courier New" w:cs="Courier New" w:hAnsi="Courier New"/>
    </w:rPr>
  </w:style>
  <w:style w:styleId="WW8Num20z2" w:type="character">
    <w:name w:val="WW8Num20z2"/>
    <w:qFormat/>
    <w:rPr>
      <w:rFonts w:ascii="Wingdings" w:cs="Wingdings" w:hAnsi="Wingdings"/>
    </w:rPr>
  </w:style>
  <w:style w:styleId="WW8Num21z0" w:type="character">
    <w:name w:val="WW8Num21z0"/>
    <w:qFormat/>
    <w:rPr/>
  </w:style>
  <w:style w:styleId="WW8Num21z1" w:type="character">
    <w:name w:val="WW8Num21z1"/>
    <w:qFormat/>
    <w:rPr>
      <w:rFonts w:ascii="Arial" w:cs="Arial" w:hAnsi="Arial"/>
      <w:sz w:val="22"/>
    </w:rPr>
  </w:style>
  <w:style w:styleId="WW8Num22z0" w:type="character">
    <w:name w:val="WW8Num22z0"/>
    <w:qFormat/>
    <w:rPr/>
  </w:style>
  <w:style w:styleId="WW8Num23z0" w:type="character">
    <w:name w:val="WW8Num23z0"/>
    <w:qFormat/>
    <w:rPr>
      <w:b w:val="false"/>
    </w:rPr>
  </w:style>
  <w:style w:styleId="WW8Num24z0" w:type="character">
    <w:name w:val="WW8Num24z0"/>
    <w:qFormat/>
    <w:rPr/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Hyperlink" w:type="character">
    <w:name w:val="Hyperlink"/>
    <w:rPr>
      <w:color w:val="0000FF"/>
      <w:u w:val="single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Prrafodelista" w:type="paragraph">
    <w:name w:val="Párrafo de lista"/>
    <w:basedOn w:val="Normal"/>
    <w:qFormat/>
    <w:pPr>
      <w:ind w:end="0" w:hanging="0" w:start="708"/>
    </w:pPr>
    <w:rPr>
      <w:lang w:val="es-MX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2026-06-24T16:30:13Z</dcterms:created>
  <dcterms:modified xsi:type="dcterms:W3CDTF">2026-06-24T16:30:13Z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