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f4e5e450fdccaa13e0fbf0680759e37f6778e1"/>
    <w:p>
      <w:pPr>
        <w:pStyle w:val="Heading1"/>
      </w:pPr>
      <w:r>
        <w:t xml:space="preserve">I-PSEA-04: Instructivo de uso del preprocesador de pt_app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I-PSEA-04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Instructivo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Instructivo de uso del preprocesador de pt_app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Activo</w:t>
      </w:r>
    </w:p>
    <w:p>
      <w:r>
        <w:pict>
          <v:rect style="width:0;height:1.5pt" o:hralign="center" o:hrstd="t" o:hr="t"/>
        </w:pict>
      </w:r>
    </w:p>
    <w:bookmarkStart w:id="11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Explicar el uso operativo del modulo preprocesador de pt_app, incluyendo carga de archivos de entrada, parametros de configuracion, secuencia de pasos, archivos tecnicos generados y registro de la ejecucion en F-PSEA-10.</w:t>
      </w:r>
    </w:p>
    <w:bookmarkEnd w:id="11"/>
    <w:bookmarkStart w:id="12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instructivo aplica al analista PT responsable de ejecutar el preprocesamiento de datos antes del analisis estadistico.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Carga de archivos de entrada oficiales desde calaire-app.</w:t>
      </w:r>
    </w:p>
    <w:p>
      <w:pPr>
        <w:pStyle w:val="Compact"/>
        <w:numPr>
          <w:ilvl w:val="0"/>
          <w:numId w:val="1001"/>
        </w:numPr>
      </w:pPr>
      <w:r>
        <w:t xml:space="preserve">Carga de archivos tecnicos internos de homogeneidad y estabilidad.</w:t>
      </w:r>
    </w:p>
    <w:p>
      <w:pPr>
        <w:pStyle w:val="Compact"/>
        <w:numPr>
          <w:ilvl w:val="0"/>
          <w:numId w:val="1001"/>
        </w:numPr>
      </w:pPr>
      <w:r>
        <w:t xml:space="preserve">Configuracion de parametros de preprocesamiento.</w:t>
      </w:r>
    </w:p>
    <w:p>
      <w:pPr>
        <w:pStyle w:val="Compact"/>
        <w:numPr>
          <w:ilvl w:val="0"/>
          <w:numId w:val="1001"/>
        </w:numPr>
      </w:pPr>
      <w:r>
        <w:t xml:space="preserve">Ejecucion de la secuencia de pasos del preprocesador.</w:t>
      </w:r>
    </w:p>
    <w:p>
      <w:pPr>
        <w:pStyle w:val="Compact"/>
        <w:numPr>
          <w:ilvl w:val="0"/>
          <w:numId w:val="1001"/>
        </w:numPr>
      </w:pPr>
      <w:r>
        <w:t xml:space="preserve">Generacion de datos preprocesados de homogeneidad y estabilidad.</w:t>
      </w:r>
    </w:p>
    <w:p>
      <w:pPr>
        <w:pStyle w:val="Compact"/>
        <w:numPr>
          <w:ilvl w:val="0"/>
          <w:numId w:val="1001"/>
        </w:numPr>
      </w:pPr>
      <w:r>
        <w:t xml:space="preserve">Consolidacion del dataset oficial para analisis PT.</w:t>
      </w:r>
    </w:p>
    <w:p>
      <w:pPr>
        <w:pStyle w:val="Compact"/>
        <w:numPr>
          <w:ilvl w:val="0"/>
          <w:numId w:val="1001"/>
        </w:numPr>
      </w:pPr>
      <w:r>
        <w:t xml:space="preserve">Registro de la ejecucion en F-PSEA-10.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Definicion de criterios estadisticos (P-PSEA-07).</w:t>
      </w:r>
    </w:p>
    <w:p>
      <w:pPr>
        <w:pStyle w:val="Compact"/>
        <w:numPr>
          <w:ilvl w:val="0"/>
          <w:numId w:val="1002"/>
        </w:numPr>
      </w:pPr>
      <w:r>
        <w:t xml:space="preserve">Flujo tecnico de datos macro del PEA (P-PSEA-08).</w:t>
      </w:r>
    </w:p>
    <w:p>
      <w:pPr>
        <w:pStyle w:val="Compact"/>
        <w:numPr>
          <w:ilvl w:val="0"/>
          <w:numId w:val="1002"/>
        </w:numPr>
      </w:pPr>
      <w:r>
        <w:t xml:space="preserve">Analisis estadistico propiamente dicho (I-PSEA-05).</w:t>
      </w:r>
    </w:p>
    <w:p>
      <w:pPr>
        <w:pStyle w:val="Compact"/>
        <w:numPr>
          <w:ilvl w:val="0"/>
          <w:numId w:val="1002"/>
        </w:numPr>
      </w:pPr>
      <w:r>
        <w:t xml:space="preserve">Generacion del informe final de resultados (P-PSEA-09).</w:t>
      </w:r>
    </w:p>
    <w:bookmarkEnd w:id="12"/>
    <w:bookmarkStart w:id="13" w:name="responsabilidades-y-uso"/>
    <w:p>
      <w:pPr>
        <w:pStyle w:val="Heading2"/>
      </w:pPr>
      <w:r>
        <w:t xml:space="preserve">3. Responsabilidades y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PT</w:t>
            </w:r>
          </w:p>
        </w:tc>
        <w:tc>
          <w:tcPr/>
          <w:p>
            <w:pPr>
              <w:pStyle w:val="Compact"/>
            </w:pPr>
            <w:r>
              <w:t xml:space="preserve">Ejecutar el preprocesador siguiendo este instructivo y registrar la ejecucion en F-PSEA-10.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Revisor tecnico</w:t>
            </w:r>
          </w:p>
        </w:tc>
        <w:tc>
          <w:tcPr/>
          <w:p>
            <w:pPr>
              <w:pStyle w:val="Compact"/>
            </w:pPr>
            <w:r>
              <w:t xml:space="preserve">Verificar que las entradas sean las versiones oficiales y que las salidas correspondan a lo esperado.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ronda</w:t>
            </w:r>
          </w:p>
        </w:tc>
        <w:tc>
          <w:tcPr/>
          <w:p>
            <w:pPr>
              <w:pStyle w:val="Compact"/>
            </w:pPr>
            <w:r>
              <w:t xml:space="preserve">Asegurar que F-PSEA-09 y F-PSEA-04 esten disponibles y aprobados.</w:t>
            </w:r>
          </w:p>
        </w:tc>
      </w:tr>
    </w:tbl>
    <w:p>
      <w:pPr>
        <w:pStyle w:val="BodyText"/>
      </w:pPr>
      <w:r>
        <w:t xml:space="preserve">El preprocesador se ejecuta bajo lo definido en DG-PSEA-03, P-PSEA-08 y P-PSEA-07.</w:t>
      </w:r>
    </w:p>
    <w:bookmarkEnd w:id="13"/>
    <w:bookmarkStart w:id="14" w:name="entradas"/>
    <w:p>
      <w:pPr>
        <w:pStyle w:val="Heading2"/>
      </w:pPr>
      <w:r>
        <w:t xml:space="preserve">4. Entradas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fuente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Datos de participantes exportados desde calaire-app.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Anexo tecnico de equipos e instrumentos del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 tecnicos internos</w:t>
            </w:r>
          </w:p>
        </w:tc>
        <w:tc>
          <w:tcPr/>
          <w:p>
            <w:pPr>
              <w:pStyle w:val="Compact"/>
            </w:pPr>
            <w:r>
              <w:t xml:space="preserve">Datos de ronda, niveles, homogeneidad y estabilidad crudos.</w:t>
            </w:r>
          </w:p>
        </w:tc>
      </w:tr>
    </w:tbl>
    <w:bookmarkEnd w:id="14"/>
    <w:bookmarkStart w:id="15" w:name="salidas"/>
    <w:p>
      <w:pPr>
        <w:pStyle w:val="Heading2"/>
      </w:pPr>
      <w:r>
        <w:t xml:space="preserve">5. Salidas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F-PSEA-10</w:t>
            </w:r>
          </w:p>
        </w:tc>
        <w:tc>
          <w:tcPr/>
          <w:p>
            <w:pPr>
              <w:pStyle w:val="Compact"/>
            </w:pPr>
            <w:r>
              <w:t xml:space="preserve">Registro de preprocesamiento de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F-PSEA-11A</w:t>
            </w:r>
          </w:p>
        </w:tc>
        <w:tc>
          <w:tcPr/>
          <w:p>
            <w:pPr>
              <w:pStyle w:val="Compact"/>
            </w:pPr>
            <w:r>
              <w:t xml:space="preserve">Datos preprocesados de homogeneidad.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F-PSEA-11B</w:t>
            </w:r>
          </w:p>
        </w:tc>
        <w:tc>
          <w:tcPr/>
          <w:p>
            <w:pPr>
              <w:pStyle w:val="Compact"/>
            </w:pPr>
            <w:r>
              <w:t xml:space="preserve">Datos preprocesados de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Datos oficiales consolidados para evaluacion de aptitud.</w:t>
            </w:r>
          </w:p>
        </w:tc>
      </w:tr>
    </w:tbl>
    <w:bookmarkEnd w:id="15"/>
    <w:bookmarkStart w:id="16" w:name="procedimiento-resumido"/>
    <w:p>
      <w:pPr>
        <w:pStyle w:val="Heading2"/>
      </w:pPr>
      <w:r>
        <w:t xml:space="preserve">6. Procedimiento resumido</w:t>
      </w:r>
    </w:p>
    <w:p>
      <w:pPr>
        <w:pStyle w:val="Compact"/>
        <w:numPr>
          <w:ilvl w:val="0"/>
          <w:numId w:val="1003"/>
        </w:numPr>
      </w:pPr>
      <w:r>
        <w:t xml:space="preserve">Verificar que las entradas F-PSEA-09 y F-PSEA-04 sean la version oficial de la ronda.</w:t>
      </w:r>
    </w:p>
    <w:p>
      <w:pPr>
        <w:pStyle w:val="Compact"/>
        <w:numPr>
          <w:ilvl w:val="0"/>
          <w:numId w:val="1003"/>
        </w:numPr>
      </w:pPr>
      <w:r>
        <w:t xml:space="preserve">Cargar los archivos tecnicos internos de homogeneidad y estabilidad.</w:t>
      </w:r>
    </w:p>
    <w:p>
      <w:pPr>
        <w:pStyle w:val="Compact"/>
        <w:numPr>
          <w:ilvl w:val="0"/>
          <w:numId w:val="1003"/>
        </w:numPr>
      </w:pPr>
      <w:r>
        <w:t xml:space="preserve">Configurar los parametros de preprocesamiento segun la ronda y el analito.</w:t>
      </w:r>
    </w:p>
    <w:p>
      <w:pPr>
        <w:pStyle w:val="Compact"/>
        <w:numPr>
          <w:ilvl w:val="0"/>
          <w:numId w:val="1003"/>
        </w:numPr>
      </w:pPr>
      <w:r>
        <w:t xml:space="preserve">Ejecutar la secuencia de pasos del preprocesador en el orden establecido.</w:t>
      </w:r>
    </w:p>
    <w:p>
      <w:pPr>
        <w:pStyle w:val="Compact"/>
        <w:numPr>
          <w:ilvl w:val="0"/>
          <w:numId w:val="1003"/>
        </w:numPr>
      </w:pPr>
      <w:r>
        <w:t xml:space="preserve">Revisar las salidas intermedias (F-PSEA-11A, F-PSEA-11B) y el dataset consolidado (F-PSEA-12).</w:t>
      </w:r>
    </w:p>
    <w:p>
      <w:pPr>
        <w:pStyle w:val="Compact"/>
        <w:numPr>
          <w:ilvl w:val="0"/>
          <w:numId w:val="1003"/>
        </w:numPr>
      </w:pPr>
      <w:r>
        <w:t xml:space="preserve">Registrar la ejecucion en F-PSEA-10.</w:t>
      </w:r>
    </w:p>
    <w:p>
      <w:pPr>
        <w:pStyle w:val="Compact"/>
        <w:numPr>
          <w:ilvl w:val="0"/>
          <w:numId w:val="1003"/>
        </w:numPr>
      </w:pPr>
      <w:r>
        <w:t xml:space="preserve">Entregar las salidas al modulo de analisis de pt_app.</w:t>
      </w:r>
    </w:p>
    <w:bookmarkEnd w:id="16"/>
    <w:bookmarkStart w:id="17" w:name="campos-minimos"/>
    <w:p>
      <w:pPr>
        <w:pStyle w:val="Heading2"/>
      </w:pPr>
      <w:r>
        <w:t xml:space="preserve">7. Campos minimos</w:t>
      </w:r>
    </w:p>
    <w:p>
      <w:pPr>
        <w:pStyle w:val="FirstParagraph"/>
      </w:pPr>
      <w:r>
        <w:t xml:space="preserve">El registro de preprocesamiento (F-PSEA-10) debe incluir como minimo:</w:t>
      </w:r>
    </w:p>
    <w:p>
      <w:pPr>
        <w:pStyle w:val="Compact"/>
        <w:numPr>
          <w:ilvl w:val="0"/>
          <w:numId w:val="1004"/>
        </w:numPr>
      </w:pPr>
      <w:r>
        <w:t xml:space="preserve">Identificador de ronda.</w:t>
      </w:r>
    </w:p>
    <w:p>
      <w:pPr>
        <w:pStyle w:val="Compact"/>
        <w:numPr>
          <w:ilvl w:val="0"/>
          <w:numId w:val="1004"/>
        </w:numPr>
      </w:pPr>
      <w:r>
        <w:t xml:space="preserve">Fecha y hora de ejecucion.</w:t>
      </w:r>
    </w:p>
    <w:p>
      <w:pPr>
        <w:pStyle w:val="Compact"/>
        <w:numPr>
          <w:ilvl w:val="0"/>
          <w:numId w:val="1004"/>
        </w:numPr>
      </w:pPr>
      <w:r>
        <w:t xml:space="preserve">Version del aplicativo o script utilizado.</w:t>
      </w:r>
    </w:p>
    <w:p>
      <w:pPr>
        <w:pStyle w:val="Compact"/>
        <w:numPr>
          <w:ilvl w:val="0"/>
          <w:numId w:val="1004"/>
        </w:numPr>
      </w:pPr>
      <w:r>
        <w:t xml:space="preserve">Lista de archivos de entrada.</w:t>
      </w:r>
    </w:p>
    <w:p>
      <w:pPr>
        <w:pStyle w:val="Compact"/>
        <w:numPr>
          <w:ilvl w:val="0"/>
          <w:numId w:val="1004"/>
        </w:numPr>
      </w:pPr>
      <w:r>
        <w:t xml:space="preserve">Lista de archivos de salida generados.</w:t>
      </w:r>
    </w:p>
    <w:p>
      <w:pPr>
        <w:pStyle w:val="Compact"/>
        <w:numPr>
          <w:ilvl w:val="0"/>
          <w:numId w:val="1004"/>
        </w:numPr>
      </w:pPr>
      <w:r>
        <w:t xml:space="preserve">Parametros de configuracion aplicados.</w:t>
      </w:r>
    </w:p>
    <w:p>
      <w:pPr>
        <w:pStyle w:val="Compact"/>
        <w:numPr>
          <w:ilvl w:val="0"/>
          <w:numId w:val="1004"/>
        </w:numPr>
      </w:pPr>
      <w:r>
        <w:t xml:space="preserve">Responsable de la ejecucion.</w:t>
      </w:r>
    </w:p>
    <w:p>
      <w:pPr>
        <w:pStyle w:val="Compact"/>
        <w:numPr>
          <w:ilvl w:val="0"/>
          <w:numId w:val="1004"/>
        </w:numPr>
      </w:pPr>
      <w:r>
        <w:t xml:space="preserve">Observaciones o advertencias.</w:t>
      </w:r>
    </w:p>
    <w:bookmarkEnd w:id="17"/>
    <w:bookmarkStart w:id="18" w:name="controles"/>
    <w:p>
      <w:pPr>
        <w:pStyle w:val="Heading2"/>
      </w:pPr>
      <w:r>
        <w:t xml:space="preserve">8. Controles</w:t>
      </w:r>
    </w:p>
    <w:p>
      <w:pPr>
        <w:pStyle w:val="Compact"/>
        <w:numPr>
          <w:ilvl w:val="0"/>
          <w:numId w:val="1005"/>
        </w:numPr>
      </w:pPr>
      <w:r>
        <w:t xml:space="preserve">Solo se deben usar como entradas las exportaciones oficiales desde calaire-app.</w:t>
      </w:r>
    </w:p>
    <w:p>
      <w:pPr>
        <w:pStyle w:val="Compact"/>
        <w:numPr>
          <w:ilvl w:val="0"/>
          <w:numId w:val="1005"/>
        </w:numPr>
      </w:pPr>
      <w:r>
        <w:t xml:space="preserve">Toda ejecucion debe quedar registrada en F-PSEA-10 antes de continuar con el analisis.</w:t>
      </w:r>
    </w:p>
    <w:p>
      <w:pPr>
        <w:pStyle w:val="Compact"/>
        <w:numPr>
          <w:ilvl w:val="0"/>
          <w:numId w:val="1005"/>
        </w:numPr>
      </w:pPr>
      <w:r>
        <w:t xml:space="preserve">Los archivos tecnicos internos deben conservarse con trazabilidad al item de ensayo y a la ronda.</w:t>
      </w:r>
    </w:p>
    <w:p>
      <w:pPr>
        <w:pStyle w:val="Compact"/>
        <w:numPr>
          <w:ilvl w:val="0"/>
          <w:numId w:val="1005"/>
        </w:numPr>
      </w:pPr>
      <w:r>
        <w:t xml:space="preserve">Las salidas F-PSEA-11A, F-PSEA-11B y F-PSEA-12 deben diferenciarse claramente.</w:t>
      </w:r>
    </w:p>
    <w:p>
      <w:pPr>
        <w:pStyle w:val="Compact"/>
        <w:numPr>
          <w:ilvl w:val="0"/>
          <w:numId w:val="1005"/>
        </w:numPr>
      </w:pPr>
      <w:r>
        <w:t xml:space="preserve">Cualquier anomalia en los datos debe reportarse en el campo de observaciones de F-PSEA-10.</w:t>
      </w:r>
    </w:p>
    <w:bookmarkEnd w:id="18"/>
    <w:bookmarkStart w:id="19" w:name="relaciones-documentales"/>
    <w:p>
      <w:pPr>
        <w:pStyle w:val="Heading2"/>
      </w:pPr>
      <w:r>
        <w:t xml:space="preserve">9. Relaciones documentales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DG-PSEA-03</w:t>
            </w:r>
          </w:p>
        </w:tc>
        <w:tc>
          <w:tcPr/>
          <w:p>
            <w:pPr>
              <w:pStyle w:val="Compact"/>
            </w:pPr>
            <w:r>
              <w:t xml:space="preserve">Documento general del aplicativo pt_app.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Criterio estadistico de referencia.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que contextualiza el paso.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F-PSEA-10</w:t>
            </w:r>
          </w:p>
        </w:tc>
        <w:tc>
          <w:tcPr/>
          <w:p>
            <w:pPr>
              <w:pStyle w:val="Compact"/>
            </w:pPr>
            <w:r>
              <w:t xml:space="preserve">Registro que documenta la ejecucion.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I-PSEA-05</w:t>
            </w:r>
          </w:p>
        </w:tc>
        <w:tc>
          <w:tcPr/>
          <w:p>
            <w:pPr>
              <w:pStyle w:val="Compact"/>
            </w:pPr>
            <w:r>
              <w:t xml:space="preserve">Instructivo de uso del modulo de analisis PT.</w:t>
            </w:r>
          </w:p>
        </w:tc>
      </w:tr>
    </w:tbl>
    <w:bookmarkEnd w:id="19"/>
    <w:bookmarkStart w:id="20" w:name="limites"/>
    <w:p>
      <w:pPr>
        <w:pStyle w:val="Heading2"/>
      </w:pPr>
      <w:r>
        <w:t xml:space="preserve">10. Limites</w:t>
      </w:r>
    </w:p>
    <w:p>
      <w:pPr>
        <w:pStyle w:val="Compact"/>
        <w:numPr>
          <w:ilvl w:val="0"/>
          <w:numId w:val="1006"/>
        </w:numPr>
      </w:pPr>
      <w:r>
        <w:t xml:space="preserve">No reemplaza P-PSEA-07; solo explica como operar la herramienta.</w:t>
      </w:r>
    </w:p>
    <w:p>
      <w:pPr>
        <w:pStyle w:val="Compact"/>
        <w:numPr>
          <w:ilvl w:val="0"/>
          <w:numId w:val="1006"/>
        </w:numPr>
      </w:pPr>
      <w:r>
        <w:t xml:space="preserve">No reemplaza P-PSEA-08; complementa la parte operativa del preprocesador.</w:t>
      </w:r>
    </w:p>
    <w:p>
      <w:pPr>
        <w:pStyle w:val="Compact"/>
        <w:numPr>
          <w:ilvl w:val="0"/>
          <w:numId w:val="1006"/>
        </w:numPr>
      </w:pPr>
      <w:r>
        <w:t xml:space="preserve">No define que es un outlier, como se calcula el valor asignado ni que es sigma_pt.</w:t>
      </w:r>
    </w:p>
    <w:p>
      <w:pPr>
        <w:pStyle w:val="Compact"/>
        <w:numPr>
          <w:ilvl w:val="0"/>
          <w:numId w:val="1006"/>
        </w:numPr>
      </w:pPr>
      <w:r>
        <w:t xml:space="preserve">No es un procedimiento de control de calidad.</w:t>
      </w:r>
    </w:p>
    <w:p>
      <w:pPr>
        <w:pStyle w:val="Compact"/>
        <w:numPr>
          <w:ilvl w:val="0"/>
          <w:numId w:val="1006"/>
        </w:numPr>
      </w:pPr>
      <w:r>
        <w:t xml:space="preserve">No describe el analisis estadistico; eso se cubre en I-PSEA-05.</w:t>
      </w:r>
    </w:p>
    <w:bookmarkEnd w:id="20"/>
    <w:bookmarkEnd w:id="21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drawing>
              <wp:inline distT="0" distB="0" distL="0" distR="0">
                <wp:extent cx="1257935" cy="533400"/>
                <wp:effectExtent l="0" t="0" r="0" b="0"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9" t="-37" r="-19" b="1483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935" cy="533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I-PSEA-04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INSTRUCTIVO PREPROCESADOR PT_APP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WW8Num1z0" w:type="character">
    <w:name w:val="WW8Num1z0"/>
    <w:qFormat/>
    <w:rPr>
      <w:rFonts w:ascii="Symbol" w:cs="Symbol" w:hAnsi="Symbol"/>
    </w:rPr>
  </w:style>
  <w:style w:styleId="WW8Num1z1" w:type="character">
    <w:name w:val="WW8Num1z1"/>
    <w:qFormat/>
    <w:rPr>
      <w:rFonts w:ascii="Courier New" w:cs="Courier New" w:hAnsi="Courier New"/>
    </w:rPr>
  </w:style>
  <w:style w:styleId="WW8Num1z2" w:type="character">
    <w:name w:val="WW8Num1z2"/>
    <w:qFormat/>
    <w:rPr>
      <w:rFonts w:ascii="Wingdings" w:cs="Wingdings" w:hAnsi="Wingdings"/>
    </w:rPr>
  </w:style>
  <w:style w:styleId="WW8Num2z0" w:type="character">
    <w:name w:val="WW8Num2z0"/>
    <w:qFormat/>
    <w:rPr>
      <w:b/>
    </w:rPr>
  </w:style>
  <w:style w:styleId="WW8Num4z0" w:type="character">
    <w:name w:val="WW8Num4z0"/>
    <w:qFormat/>
    <w:rPr>
      <w:rFonts w:ascii="Symbol" w:cs="Symbol" w:hAnsi="Symbol"/>
    </w:rPr>
  </w:style>
  <w:style w:styleId="WW8Num4z1" w:type="character">
    <w:name w:val="WW8Num4z1"/>
    <w:qFormat/>
    <w:rPr>
      <w:rFonts w:ascii="Courier New" w:cs="Courier New" w:hAnsi="Courier New"/>
    </w:rPr>
  </w:style>
  <w:style w:styleId="WW8Num4z2" w:type="character">
    <w:name w:val="WW8Num4z2"/>
    <w:qFormat/>
    <w:rPr>
      <w:rFonts w:ascii="Wingdings" w:cs="Wingdings" w:hAnsi="Wingdings"/>
    </w:rPr>
  </w:style>
  <w:style w:styleId="WW8Num5z1" w:type="character">
    <w:name w:val="WW8Num5z1"/>
    <w:qFormat/>
    <w:rPr>
      <w:b w:val="false"/>
    </w:rPr>
  </w:style>
  <w:style w:styleId="WW8Num7z0" w:type="character">
    <w:name w:val="WW8Num7z0"/>
    <w:qFormat/>
    <w:rPr>
      <w:b w:val="false"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5" w:type="character">
    <w:name w:val="WW8Num8z5"/>
    <w:qFormat/>
    <w:rPr>
      <w:rFonts w:ascii="Wingdings" w:cs="Wingdings" w:hAnsi="Wingdings"/>
    </w:rPr>
  </w:style>
  <w:style w:styleId="WW8Num9z0" w:type="character">
    <w:name w:val="WW8Num9z0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9z3" w:type="character">
    <w:name w:val="WW8Num9z3"/>
    <w:qFormat/>
    <w:rPr>
      <w:rFonts w:ascii="Symbol" w:cs="Symbol" w:hAnsi="Symbol"/>
    </w:rPr>
  </w:style>
  <w:style w:styleId="WW8Num10z0" w:type="character">
    <w:name w:val="WW8Num10z0"/>
    <w:qFormat/>
    <w:rPr>
      <w:rFonts w:ascii="Symbol" w:cs="Symbol" w:hAnsi="Symbol"/>
    </w:rPr>
  </w:style>
  <w:style w:styleId="WW8Num10z1" w:type="character">
    <w:name w:val="WW8Num10z1"/>
    <w:qFormat/>
    <w:rPr>
      <w:rFonts w:ascii="Courier New" w:cs="Courier New" w:hAnsi="Courier New"/>
    </w:rPr>
  </w:style>
  <w:style w:styleId="WW8Num10z2" w:type="character">
    <w:name w:val="WW8Num10z2"/>
    <w:qFormat/>
    <w:rPr>
      <w:rFonts w:ascii="Wingdings" w:cs="Wingdings" w:hAnsi="Wingdings"/>
    </w:rPr>
  </w:style>
  <w:style w:styleId="WW8Num11z0" w:type="character">
    <w:name w:val="WW8Num11z0"/>
    <w:qFormat/>
    <w:rPr>
      <w:b/>
      <w:i w:val="false"/>
    </w:rPr>
  </w:style>
  <w:style w:styleId="WW8Num12z0" w:type="character">
    <w:name w:val="WW8Num12z0"/>
    <w:qFormat/>
    <w:rPr>
      <w:rFonts w:ascii="Symbol" w:cs="Symbol" w:hAnsi="Symbol"/>
    </w:rPr>
  </w:style>
  <w:style w:styleId="WW8Num12z1" w:type="character">
    <w:name w:val="WW8Num12z1"/>
    <w:qFormat/>
    <w:rPr>
      <w:rFonts w:ascii="Courier New" w:cs="Courier New" w:hAnsi="Courier New"/>
    </w:rPr>
  </w:style>
  <w:style w:styleId="WW8Num12z2" w:type="character">
    <w:name w:val="WW8Num12z2"/>
    <w:qFormat/>
    <w:rPr>
      <w:rFonts w:ascii="Wingdings" w:cs="Wingdings" w:hAnsi="Wingdings"/>
    </w:rPr>
  </w:style>
  <w:style w:styleId="WW8Num13z0" w:type="character">
    <w:name w:val="WW8Num13z0"/>
    <w:qFormat/>
    <w:rPr>
      <w:b w:val="false"/>
    </w:rPr>
  </w:style>
  <w:style w:styleId="WW8Num14z0" w:type="character">
    <w:name w:val="WW8Num14z0"/>
    <w:qFormat/>
    <w:rPr>
      <w:b/>
    </w:rPr>
  </w:style>
  <w:style w:styleId="WW8Num15z0" w:type="character">
    <w:name w:val="WW8Num15z0"/>
    <w:qFormat/>
    <w:rPr>
      <w:b/>
      <w:i w:val="false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9z0" w:type="character">
    <w:name w:val="WW8Num19z0"/>
    <w:qFormat/>
    <w:rPr>
      <w:b/>
      <w:i w:val="false"/>
    </w:rPr>
  </w:style>
  <w:style w:styleId="WW8Num19z1" w:type="character">
    <w:name w:val="WW8Num19z1"/>
    <w:qFormat/>
    <w:rPr/>
  </w:style>
  <w:style w:styleId="WW8Num20z0" w:type="character">
    <w:name w:val="WW8Num20z0"/>
    <w:qFormat/>
    <w:rPr>
      <w:rFonts w:ascii="Symbol" w:cs="Symbol" w:hAnsi="Symbol"/>
    </w:rPr>
  </w:style>
  <w:style w:styleId="WW8Num20z1" w:type="character">
    <w:name w:val="WW8Num20z1"/>
    <w:qFormat/>
    <w:rPr>
      <w:rFonts w:ascii="Courier New" w:cs="Courier New" w:hAnsi="Courier New"/>
    </w:rPr>
  </w:style>
  <w:style w:styleId="WW8Num20z2" w:type="character">
    <w:name w:val="WW8Num20z2"/>
    <w:qFormat/>
    <w:rPr>
      <w:rFonts w:ascii="Wingdings" w:cs="Wingdings" w:hAnsi="Wingdings"/>
    </w:rPr>
  </w:style>
  <w:style w:styleId="WW8Num21z0" w:type="character">
    <w:name w:val="WW8Num21z0"/>
    <w:qFormat/>
    <w:rPr/>
  </w:style>
  <w:style w:styleId="WW8Num21z1" w:type="character">
    <w:name w:val="WW8Num21z1"/>
    <w:qFormat/>
    <w:rPr>
      <w:rFonts w:ascii="Arial" w:cs="Arial" w:hAnsi="Arial"/>
      <w:sz w:val="22"/>
    </w:rPr>
  </w:style>
  <w:style w:styleId="WW8Num22z0" w:type="character">
    <w:name w:val="WW8Num22z0"/>
    <w:qFormat/>
    <w:rPr/>
  </w:style>
  <w:style w:styleId="WW8Num23z0" w:type="character">
    <w:name w:val="WW8Num23z0"/>
    <w:qFormat/>
    <w:rPr>
      <w:b w:val="false"/>
    </w:rPr>
  </w:style>
  <w:style w:styleId="WW8Num24z0" w:type="character">
    <w:name w:val="WW8Num24z0"/>
    <w:qFormat/>
    <w:rPr/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Hyperlink" w:type="character">
    <w:name w:val="Hyperlink"/>
    <w:rPr>
      <w:color w:val="0000FF"/>
      <w:u w:val="single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Prrafodelista" w:type="paragraph">
    <w:name w:val="Párrafo de lista"/>
    <w:basedOn w:val="Normal"/>
    <w:qFormat/>
    <w:pPr>
      <w:ind w:end="0" w:hanging="0" w:start="708"/>
    </w:pPr>
    <w:rPr>
      <w:lang w:val="es-MX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2026-06-24T16:30:13Z</dcterms:created>
  <dcterms:modified xsi:type="dcterms:W3CDTF">2026-06-24T16:30:13Z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