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81cf2cf60078c1bcc47f6d483d8cebf2647fedd"/>
    <w:p>
      <w:pPr>
        <w:pStyle w:val="Heading1"/>
      </w:pPr>
      <w:r>
        <w:t xml:space="preserve">F-PSEA-11A: Datos preprocesados de homogeneidad</w:t>
      </w:r>
    </w:p>
    <w:p>
      <w:pPr>
        <w:pStyle w:val="FirstParagraph"/>
      </w:pPr>
      <w:r>
        <w:rPr>
          <w:b/>
          <w:bCs/>
        </w:rPr>
        <w:t xml:space="preserve">Codigo:</w:t>
      </w:r>
      <w:r>
        <w:t xml:space="preserve"> </w:t>
      </w:r>
      <w:r>
        <w:t xml:space="preserve">F-PSEA-11A</w:t>
      </w:r>
      <w:r>
        <w:br/>
      </w:r>
      <w:r>
        <w:rPr>
          <w:b/>
          <w:bCs/>
        </w:rPr>
        <w:t xml:space="preserve">Tipo documental:</w:t>
      </w:r>
      <w:r>
        <w:t xml:space="preserve"> </w:t>
      </w:r>
      <w:r>
        <w:t xml:space="preserve">Formato / registro</w:t>
      </w:r>
      <w:r>
        <w:br/>
      </w:r>
      <w:r>
        <w:rPr>
          <w:b/>
          <w:bCs/>
        </w:rPr>
        <w:t xml:space="preserve">Nombre:</w:t>
      </w:r>
      <w:r>
        <w:t xml:space="preserve"> </w:t>
      </w:r>
      <w:r>
        <w:t xml:space="preserve">Datos preprocesados de homogeneidad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2026-06-18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Activo</w:t>
      </w:r>
    </w:p>
    <w:p>
      <w:r>
        <w:pict>
          <v:rect style="width:0;height:1.5pt" o:hralign="center" o:hrstd="t" o:hr="t"/>
        </w:pict>
      </w:r>
    </w:p>
    <w:bookmarkStart w:id="1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Registrar los datos de homogeneidad del item de ensayo despues del preprocesamiento en pt_app, como insumo tecnico para el modulo de analisis.</w:t>
      </w:r>
    </w:p>
    <w:bookmarkEnd w:id="19"/>
    <w:bookmarkStart w:id="2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Este formato aplica a los datos de homogeneidad generados por el preprocesador de pt_app para cada ronda de ensayo de aptitud en gases contaminantes criterio.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Datos crudos de homogeneidad depurados y estructurados.</w:t>
      </w:r>
    </w:p>
    <w:p>
      <w:pPr>
        <w:pStyle w:val="Compact"/>
        <w:numPr>
          <w:ilvl w:val="0"/>
          <w:numId w:val="1001"/>
        </w:numPr>
      </w:pPr>
      <w:r>
        <w:t xml:space="preserve">Identificacion del item de ensayo y la ronda.</w:t>
      </w:r>
    </w:p>
    <w:p>
      <w:pPr>
        <w:pStyle w:val="Compact"/>
        <w:numPr>
          <w:ilvl w:val="0"/>
          <w:numId w:val="1001"/>
        </w:numPr>
      </w:pPr>
      <w:r>
        <w:t xml:space="preserve">Trazabilidad al registro de preprocesamiento (F-PSEA-10).</w:t>
      </w:r>
    </w:p>
    <w:p>
      <w:pPr>
        <w:pStyle w:val="FirstParagraph"/>
      </w:pPr>
      <w:r>
        <w:t xml:space="preserve">No incluye:</w:t>
      </w:r>
    </w:p>
    <w:p>
      <w:pPr>
        <w:pStyle w:val="Compact"/>
        <w:numPr>
          <w:ilvl w:val="0"/>
          <w:numId w:val="1002"/>
        </w:numPr>
      </w:pPr>
      <w:r>
        <w:t xml:space="preserve">Resultados finales de homogeneidad (F-PSEA-11C).</w:t>
      </w:r>
    </w:p>
    <w:p>
      <w:pPr>
        <w:pStyle w:val="Compact"/>
        <w:numPr>
          <w:ilvl w:val="0"/>
          <w:numId w:val="1002"/>
        </w:numPr>
      </w:pPr>
      <w:r>
        <w:t xml:space="preserve">Datos crudos sin procesar (archivos tecnicos internos).</w:t>
      </w:r>
    </w:p>
    <w:p>
      <w:pPr>
        <w:pStyle w:val="Compact"/>
        <w:numPr>
          <w:ilvl w:val="0"/>
          <w:numId w:val="1002"/>
        </w:numPr>
      </w:pPr>
      <w:r>
        <w:t xml:space="preserve">Criterios estadisticos aplicados (P-PSEA-07).</w:t>
      </w:r>
    </w:p>
    <w:bookmarkEnd w:id="20"/>
    <w:bookmarkStart w:id="21" w:name="responsabilidades-y-uso"/>
    <w:p>
      <w:pPr>
        <w:pStyle w:val="Heading2"/>
      </w:pPr>
      <w:r>
        <w:t xml:space="preserve">3. Responsabilidades y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Analista PT</w:t>
            </w:r>
          </w:p>
        </w:tc>
        <w:tc>
          <w:tcPr/>
          <w:p>
            <w:pPr>
              <w:pStyle w:val="Compact"/>
            </w:pPr>
            <w:r>
              <w:t xml:space="preserve">Ejecutar el preprocesador y generar este formato.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Revisor tecnico</w:t>
            </w:r>
          </w:p>
        </w:tc>
        <w:tc>
          <w:tcPr/>
          <w:p>
            <w:pPr>
              <w:pStyle w:val="Compact"/>
            </w:pPr>
            <w:r>
              <w:t xml:space="preserve">Verificar que los datos preprocesados sean consistentes con los archivos tecnicos internos.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 ronda</w:t>
            </w:r>
          </w:p>
        </w:tc>
        <w:tc>
          <w:tcPr/>
          <w:p>
            <w:pPr>
              <w:pStyle w:val="Compact"/>
            </w:pPr>
            <w:r>
              <w:t xml:space="preserve">Asegurar que el formato quede vinculado al item de ensayo y a la ronda correspondiente.</w:t>
            </w:r>
          </w:p>
        </w:tc>
      </w:tr>
    </w:tbl>
    <w:p>
      <w:pPr>
        <w:pStyle w:val="BodyText"/>
      </w:pPr>
      <w:r>
        <w:t xml:space="preserve">Este formato se genera siguiendo I-PSEA-04 y se utiliza como entrada para el modulo de analisis de pt_app.</w:t>
      </w:r>
    </w:p>
    <w:bookmarkEnd w:id="21"/>
    <w:bookmarkStart w:id="22" w:name="entradas"/>
    <w:p>
      <w:pPr>
        <w:pStyle w:val="Heading2"/>
      </w:pPr>
      <w:r>
        <w:t xml:space="preserve">4. Entradas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 / fuente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Archivos tecnicos internos</w:t>
            </w:r>
          </w:p>
        </w:tc>
        <w:tc>
          <w:tcPr/>
          <w:p>
            <w:pPr>
              <w:pStyle w:val="Compact"/>
            </w:pPr>
            <w:r>
              <w:t xml:space="preserve">Datos crudos de homogeneidad.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F-PSEA-10</w:t>
            </w:r>
          </w:p>
        </w:tc>
        <w:tc>
          <w:tcPr/>
          <w:p>
            <w:pPr>
              <w:pStyle w:val="Compact"/>
            </w:pPr>
            <w:r>
              <w:t xml:space="preserve">Registro de preprocesamiento.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I-PSEA-04</w:t>
            </w:r>
          </w:p>
        </w:tc>
        <w:tc>
          <w:tcPr/>
          <w:p>
            <w:pPr>
              <w:pStyle w:val="Compact"/>
            </w:pPr>
            <w:r>
              <w:t xml:space="preserve">Instructivo de uso del preprocesador.</w:t>
            </w:r>
          </w:p>
        </w:tc>
      </w:tr>
    </w:tbl>
    <w:bookmarkEnd w:id="22"/>
    <w:bookmarkStart w:id="23" w:name="salidas"/>
    <w:p>
      <w:pPr>
        <w:pStyle w:val="Heading2"/>
      </w:pPr>
      <w:r>
        <w:t xml:space="preserve">5. Salidas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F-PSEA-11C</w:t>
            </w:r>
          </w:p>
        </w:tc>
        <w:tc>
          <w:tcPr/>
          <w:p>
            <w:pPr>
              <w:pStyle w:val="Compact"/>
            </w:pPr>
            <w:r>
              <w:t xml:space="preserve">Resultados de homogeneidad.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F-PSEA-12</w:t>
            </w:r>
          </w:p>
        </w:tc>
        <w:tc>
          <w:tcPr/>
          <w:p>
            <w:pPr>
              <w:pStyle w:val="Compact"/>
            </w:pPr>
            <w:r>
              <w:t xml:space="preserve">Dataset oficial consolidado (referencia).</w:t>
            </w:r>
          </w:p>
        </w:tc>
      </w:tr>
    </w:tbl>
    <w:bookmarkEnd w:id="23"/>
    <w:bookmarkStart w:id="24" w:name="campos-minimos"/>
    <w:p>
      <w:pPr>
        <w:pStyle w:val="Heading2"/>
      </w:pPr>
      <w:r>
        <w:t xml:space="preserve">6. Campos minimos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ID_ronda</w:t>
            </w:r>
          </w:p>
        </w:tc>
        <w:tc>
          <w:tcPr/>
          <w:p>
            <w:pPr>
              <w:pStyle w:val="Compact"/>
            </w:pPr>
            <w:r>
              <w:t xml:space="preserve">Codigo o identificador de la ronda.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ID_item</w:t>
            </w:r>
          </w:p>
        </w:tc>
        <w:tc>
          <w:tcPr/>
          <w:p>
            <w:pPr>
              <w:pStyle w:val="Compact"/>
            </w:pPr>
            <w:r>
              <w:t xml:space="preserve">Identificador del item de ensayo.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Analito</w:t>
            </w:r>
          </w:p>
        </w:tc>
        <w:tc>
          <w:tcPr/>
          <w:p>
            <w:pPr>
              <w:pStyle w:val="Compact"/>
            </w:pPr>
            <w:r>
              <w:t xml:space="preserve">Gas contaminante criterio evaluado.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Nivel de concentracion del item.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Replica</w:t>
            </w:r>
          </w:p>
        </w:tc>
        <w:tc>
          <w:tcPr/>
          <w:p>
            <w:pPr>
              <w:pStyle w:val="Compact"/>
            </w:pPr>
            <w:r>
              <w:t xml:space="preserve">Numero de replica o unidad de muestreo.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Valor_medido</w:t>
            </w:r>
          </w:p>
        </w:tc>
        <w:tc>
          <w:tcPr/>
          <w:p>
            <w:pPr>
              <w:pStyle w:val="Compact"/>
            </w:pPr>
            <w:r>
              <w:t xml:space="preserve">Valor medido de homogeneidad.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Unidad</w:t>
            </w:r>
          </w:p>
        </w:tc>
        <w:tc>
          <w:tcPr/>
          <w:p>
            <w:pPr>
              <w:pStyle w:val="Compact"/>
            </w:pPr>
            <w:r>
              <w:t xml:space="preserve">Unidad del valor medido.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Fecha_medicion</w:t>
            </w:r>
          </w:p>
        </w:tc>
        <w:tc>
          <w:tcPr/>
          <w:p>
            <w:pPr>
              <w:pStyle w:val="Compact"/>
            </w:pPr>
            <w:r>
              <w:t xml:space="preserve">Fecha y hora de la medicion.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ID_preprocesamiento</w:t>
            </w:r>
          </w:p>
        </w:tc>
        <w:tc>
          <w:tcPr/>
          <w:p>
            <w:pPr>
              <w:pStyle w:val="Compact"/>
            </w:pPr>
            <w:r>
              <w:t xml:space="preserve">Referencia al registro F-PSEA-10.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Persona que ejecuto el preprocesamiento.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Observaciones</w:t>
            </w:r>
          </w:p>
        </w:tc>
        <w:tc>
          <w:tcPr/>
          <w:p>
            <w:pPr>
              <w:pStyle w:val="Compact"/>
            </w:pPr>
            <w:r>
              <w:t xml:space="preserve">Notas sobre depuracion, exclusiones o advertencias.</w:t>
            </w:r>
          </w:p>
        </w:tc>
      </w:tr>
    </w:tbl>
    <w:bookmarkEnd w:id="24"/>
    <w:bookmarkStart w:id="25" w:name="controles"/>
    <w:p>
      <w:pPr>
        <w:pStyle w:val="Heading2"/>
      </w:pPr>
      <w:r>
        <w:t xml:space="preserve">7. Controles</w:t>
      </w:r>
    </w:p>
    <w:p>
      <w:pPr>
        <w:pStyle w:val="Compact"/>
        <w:numPr>
          <w:ilvl w:val="0"/>
          <w:numId w:val="1003"/>
        </w:numPr>
      </w:pPr>
      <w:r>
        <w:t xml:space="preserve">Los datos deben provenir de los archivos tecnicos internos de homogeneidad.</w:t>
      </w:r>
    </w:p>
    <w:p>
      <w:pPr>
        <w:pStyle w:val="Compact"/>
        <w:numPr>
          <w:ilvl w:val="0"/>
          <w:numId w:val="1003"/>
        </w:numPr>
      </w:pPr>
      <w:r>
        <w:t xml:space="preserve">Cada registro debe estar vinculado a un F-PSEA-10.</w:t>
      </w:r>
    </w:p>
    <w:p>
      <w:pPr>
        <w:pStyle w:val="Compact"/>
        <w:numPr>
          <w:ilvl w:val="0"/>
          <w:numId w:val="1003"/>
        </w:numPr>
      </w:pPr>
      <w:r>
        <w:t xml:space="preserve">No debe incluir resultados de analisis ni conclusiones de aceptabilidad.</w:t>
      </w:r>
    </w:p>
    <w:p>
      <w:pPr>
        <w:pStyle w:val="Compact"/>
        <w:numPr>
          <w:ilvl w:val="0"/>
          <w:numId w:val="1003"/>
        </w:numPr>
      </w:pPr>
      <w:r>
        <w:t xml:space="preserve">Los valores deben estar en las unidades definidas para la ronda.</w:t>
      </w:r>
    </w:p>
    <w:p>
      <w:pPr>
        <w:pStyle w:val="Compact"/>
        <w:numPr>
          <w:ilvl w:val="0"/>
          <w:numId w:val="1003"/>
        </w:numPr>
      </w:pPr>
      <w:r>
        <w:t xml:space="preserve">La version del formato debe coincidir con la version del preprocesador utilizado.</w:t>
      </w:r>
    </w:p>
    <w:bookmarkEnd w:id="25"/>
    <w:bookmarkStart w:id="26" w:name="relaciones-documentales"/>
    <w:p>
      <w:pPr>
        <w:pStyle w:val="Heading2"/>
      </w:pPr>
      <w:r>
        <w:t xml:space="preserve">8. Relaciones documentales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F-PSEA-11</w:t>
            </w:r>
          </w:p>
        </w:tc>
        <w:tc>
          <w:tcPr/>
          <w:p>
            <w:pPr>
              <w:pStyle w:val="Compact"/>
            </w:pPr>
            <w:r>
              <w:t xml:space="preserve">Registro principal de homogeneidad y estabilidad.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F-PSEA-11C</w:t>
            </w:r>
          </w:p>
        </w:tc>
        <w:tc>
          <w:tcPr/>
          <w:p>
            <w:pPr>
              <w:pStyle w:val="Compact"/>
            </w:pPr>
            <w:r>
              <w:t xml:space="preserve">Resultados de homogeneidad que se alimentan de estos datos.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F-PSEA-10</w:t>
            </w:r>
          </w:p>
        </w:tc>
        <w:tc>
          <w:tcPr/>
          <w:p>
            <w:pPr>
              <w:pStyle w:val="Compact"/>
            </w:pPr>
            <w:r>
              <w:t xml:space="preserve">Registro de preprocesamiento.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P-PSEA-06</w:t>
            </w:r>
          </w:p>
        </w:tc>
        <w:tc>
          <w:tcPr/>
          <w:p>
            <w:pPr>
              <w:pStyle w:val="Compact"/>
            </w:pPr>
            <w:r>
              <w:t xml:space="preserve">Preparacion y control del item de ensayo.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P-PSEA-07</w:t>
            </w:r>
          </w:p>
        </w:tc>
        <w:tc>
          <w:tcPr/>
          <w:p>
            <w:pPr>
              <w:pStyle w:val="Compact"/>
            </w:pPr>
            <w:r>
              <w:t xml:space="preserve">Criterio estadistico de H/E.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P-PSEA-08</w:t>
            </w:r>
          </w:p>
        </w:tc>
        <w:tc>
          <w:tcPr/>
          <w:p>
            <w:pPr>
              <w:pStyle w:val="Compact"/>
            </w:pPr>
            <w:r>
              <w:t xml:space="preserve">Flujo tecnico de datos digitales.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I-PSEA-04</w:t>
            </w:r>
          </w:p>
        </w:tc>
        <w:tc>
          <w:tcPr/>
          <w:p>
            <w:pPr>
              <w:pStyle w:val="Compact"/>
            </w:pPr>
            <w:r>
              <w:t xml:space="preserve">Instructivo de uso del preprocesador.</w:t>
            </w:r>
          </w:p>
        </w:tc>
      </w:tr>
    </w:tbl>
    <w:bookmarkEnd w:id="26"/>
    <w:bookmarkStart w:id="27" w:name="limites"/>
    <w:p>
      <w:pPr>
        <w:pStyle w:val="Heading2"/>
      </w:pPr>
      <w:r>
        <w:t xml:space="preserve">9. Limites</w:t>
      </w:r>
    </w:p>
    <w:p>
      <w:pPr>
        <w:pStyle w:val="Compact"/>
        <w:numPr>
          <w:ilvl w:val="0"/>
          <w:numId w:val="1004"/>
        </w:numPr>
      </w:pPr>
      <w:r>
        <w:t xml:space="preserve">No contiene resultados finales de homogeneidad (eso es F-PSEA-11C).</w:t>
      </w:r>
    </w:p>
    <w:p>
      <w:pPr>
        <w:pStyle w:val="Compact"/>
        <w:numPr>
          <w:ilvl w:val="0"/>
          <w:numId w:val="1004"/>
        </w:numPr>
      </w:pPr>
      <w:r>
        <w:t xml:space="preserve">No es un registro de preprocesamiento (eso es F-PSEA-10).</w:t>
      </w:r>
    </w:p>
    <w:p>
      <w:pPr>
        <w:pStyle w:val="Compact"/>
        <w:numPr>
          <w:ilvl w:val="0"/>
          <w:numId w:val="1004"/>
        </w:numPr>
      </w:pPr>
      <w:r>
        <w:t xml:space="preserve">No define criterios estadisticos (eso es P-PSEA-07).</w:t>
      </w:r>
    </w:p>
    <w:p>
      <w:pPr>
        <w:pStyle w:val="Compact"/>
        <w:numPr>
          <w:ilvl w:val="0"/>
          <w:numId w:val="1004"/>
        </w:numPr>
      </w:pPr>
      <w:r>
        <w:t xml:space="preserve">No es un instructivo de uso.</w:t>
      </w:r>
    </w:p>
    <w:p>
      <w:pPr>
        <w:pStyle w:val="Compact"/>
        <w:numPr>
          <w:ilvl w:val="0"/>
          <w:numId w:val="1004"/>
        </w:numPr>
      </w:pPr>
      <w:r>
        <w:t xml:space="preserve">No incluye datos crudos sin procesar.</w:t>
      </w:r>
    </w:p>
    <w:bookmarkEnd w:id="27"/>
    <w:bookmarkEnd w:id="28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F-PSEA-11A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DATOS PREPROCESADOS DE HOMOGENEIDAD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F-PSEA-11A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DATOS PREPROCESADOS DE HOMOGENEIDAD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2026-06-24T16:30:13Z</dcterms:created>
  <dcterms:modified xsi:type="dcterms:W3CDTF">2026-06-24T16:30:13Z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