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c661cf92dd111688c657748fad0118ada43638"/>
    <w:p>
      <w:pPr>
        <w:pStyle w:val="Heading1"/>
      </w:pPr>
      <w:r>
        <w:t xml:space="preserve">F-PSEA-14: Registro/caso de queja o NC según aplique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F-PSEA-14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Registro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Registro/caso de queja o NC según aplique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Preliminar — Revisar</w:t>
      </w:r>
      <w:r>
        <w:br/>
      </w:r>
      <w:r>
        <w:rPr>
          <w:b/>
          <w:bCs/>
        </w:rPr>
        <w:t xml:space="preserve">Clase:</w:t>
      </w:r>
      <w:r>
        <w:t xml:space="preserve"> </w:t>
      </w:r>
      <w:r>
        <w:t xml:space="preserve">Ficha preliminar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la recepcion, evaluacion, respuesta y cierre de quejas recibidas en el PEA y de los casos de no conformidad (NC) o trabajo no conforme (TNC) que de ellas se deriven, de forma que quede trazabilidad del ciclo completo del caso SGC.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registro aplica a:</w:t>
      </w:r>
    </w:p>
    <w:p>
      <w:pPr>
        <w:pStyle w:val="Compact"/>
        <w:numPr>
          <w:ilvl w:val="0"/>
          <w:numId w:val="1001"/>
        </w:numPr>
      </w:pPr>
      <w:r>
        <w:t xml:space="preserve">Quejas de participantes u otras partes interesadas sobre el desarrollo del ensayo de aptitud.</w:t>
      </w:r>
    </w:p>
    <w:p>
      <w:pPr>
        <w:pStyle w:val="Compact"/>
        <w:numPr>
          <w:ilvl w:val="0"/>
          <w:numId w:val="1001"/>
        </w:numPr>
      </w:pPr>
      <w:r>
        <w:t xml:space="preserve">Casos de trabajo no conforme (TNC) o no conformidades (NC) detectados en operaciones del PEA.</w:t>
      </w:r>
    </w:p>
    <w:p>
      <w:pPr>
        <w:pStyle w:val="Compact"/>
        <w:numPr>
          <w:ilvl w:val="0"/>
          <w:numId w:val="1001"/>
        </w:numPr>
      </w:pPr>
      <w:r>
        <w:t xml:space="preserve">Acciones correctivas/preventivas (CAPA) asociadas a una queja o NC.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Apelaciones contra resultados de EA (eso es</w:t>
      </w:r>
      <w:r>
        <w:t xml:space="preserve"> </w:t>
      </w:r>
      <w:r>
        <w:rPr>
          <w:rStyle w:val="VerbatimChar"/>
        </w:rPr>
        <w:t xml:space="preserve">F-PSEA-15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Colusion o falsificacion (eso se gestiona en</w:t>
      </w:r>
      <w:r>
        <w:t xml:space="preserve"> </w:t>
      </w:r>
      <w:r>
        <w:rPr>
          <w:rStyle w:val="VerbatimChar"/>
        </w:rPr>
        <w:t xml:space="preserve">P-PSEA-14</w:t>
      </w:r>
      <w:r>
        <w:t xml:space="preserve">, pudiendo derivar aqui si se confirma una NC).</w:t>
      </w:r>
    </w:p>
    <w:p>
      <w:pPr>
        <w:pStyle w:val="Compact"/>
        <w:numPr>
          <w:ilvl w:val="0"/>
          <w:numId w:val="1002"/>
        </w:numPr>
      </w:pPr>
      <w:r>
        <w:t xml:space="preserve">Comunicaciones generales del PEA (eso es</w:t>
      </w:r>
      <w:r>
        <w:t xml:space="preserve"> </w:t>
      </w:r>
      <w:r>
        <w:rPr>
          <w:rStyle w:val="VerbatimChar"/>
        </w:rPr>
        <w:t xml:space="preserve">P-PSEA-05</w:t>
      </w:r>
      <w:r>
        <w:t xml:space="preserve">).</w:t>
      </w:r>
    </w:p>
    <w:bookmarkEnd w:id="10"/>
    <w:bookmarkStart w:id="11" w:name="responsable-funcional"/>
    <w:p>
      <w:pPr>
        <w:pStyle w:val="Heading2"/>
      </w:pPr>
      <w:r>
        <w:t xml:space="preserve">3. Responsable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del caso SGC</w:t>
            </w:r>
          </w:p>
        </w:tc>
        <w:tc>
          <w:tcPr/>
          <w:p>
            <w:pPr>
              <w:pStyle w:val="Compact"/>
            </w:pPr>
            <w:r>
              <w:t xml:space="preserve">Registrar el caso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, documentar la queja/NC y coordinar la respuesta.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Evaluar si la queja deriva en NC/TNC y aprobar el plan de accion.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area afectada</w:t>
            </w:r>
          </w:p>
        </w:tc>
        <w:tc>
          <w:tcPr/>
          <w:p>
            <w:pPr>
              <w:pStyle w:val="Compact"/>
            </w:pPr>
            <w:r>
              <w:t xml:space="preserve">Ejecutar acciones correctivas/preventivas y evidenciar su cierre.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direccion del PEA</w:t>
            </w:r>
          </w:p>
        </w:tc>
        <w:tc>
          <w:tcPr/>
          <w:p>
            <w:pPr>
              <w:pStyle w:val="Compact"/>
            </w:pPr>
            <w:r>
              <w:t xml:space="preserve">Aprobar cierre cuando la queja o NC afecte la conformidad del ensayo o la imagen del esquema.</w:t>
            </w:r>
          </w:p>
        </w:tc>
      </w:tr>
    </w:tbl>
    <w:bookmarkEnd w:id="11"/>
    <w:bookmarkStart w:id="12" w:name="momento-de-uso"/>
    <w:p>
      <w:pPr>
        <w:pStyle w:val="Heading2"/>
      </w:pPr>
      <w:r>
        <w:t xml:space="preserve">4. Momento de uso</w:t>
      </w:r>
    </w:p>
    <w:p>
      <w:pPr>
        <w:pStyle w:val="Compact"/>
        <w:numPr>
          <w:ilvl w:val="0"/>
          <w:numId w:val="1003"/>
        </w:numPr>
      </w:pPr>
      <w:r>
        <w:t xml:space="preserve">Al recibir una queja formal por cualquier canal oficial.</w:t>
      </w:r>
    </w:p>
    <w:p>
      <w:pPr>
        <w:pStyle w:val="Compact"/>
        <w:numPr>
          <w:ilvl w:val="0"/>
          <w:numId w:val="1003"/>
        </w:numPr>
      </w:pPr>
      <w:r>
        <w:t xml:space="preserve">Al detectar un TNC/NC durante la operacion del PEA.</w:t>
      </w:r>
    </w:p>
    <w:p>
      <w:pPr>
        <w:pStyle w:val="Compact"/>
        <w:numPr>
          <w:ilvl w:val="0"/>
          <w:numId w:val="1003"/>
        </w:numPr>
      </w:pPr>
      <w:r>
        <w:t xml:space="preserve">Durante el seguimiento de acciones derivadas hasta su cierre.</w:t>
      </w:r>
    </w:p>
    <w:p>
      <w:pPr>
        <w:pStyle w:val="Compact"/>
        <w:numPr>
          <w:ilvl w:val="0"/>
          <w:numId w:val="1003"/>
        </w:numPr>
      </w:pPr>
      <w:r>
        <w:t xml:space="preserve">Al reportar metricas de quejas y NC en revisiones de gestion.</w:t>
      </w:r>
    </w:p>
    <w:bookmarkEnd w:id="12"/>
    <w:bookmarkStart w:id="13" w:name="campos-minimos"/>
    <w:p>
      <w:pPr>
        <w:pStyle w:val="Heading2"/>
      </w:pPr>
      <w:r>
        <w:t xml:space="preserve">5. Campos minimos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ID_caso</w:t>
            </w:r>
          </w:p>
        </w:tc>
        <w:tc>
          <w:tcPr/>
          <w:p>
            <w:pPr>
              <w:pStyle w:val="Compact"/>
            </w:pPr>
            <w:r>
              <w:t xml:space="preserve">Codigo unico del caso SGC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Fecha_recepcion</w:t>
            </w:r>
          </w:p>
        </w:tc>
        <w:tc>
          <w:tcPr/>
          <w:p>
            <w:pPr>
              <w:pStyle w:val="Compact"/>
            </w:pPr>
            <w:r>
              <w:t xml:space="preserve">Fecha y hora de recepcion de la queja o deteccion de la 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Canal_recepcion</w:t>
            </w:r>
          </w:p>
        </w:tc>
        <w:tc>
          <w:tcPr/>
          <w:p>
            <w:pPr>
              <w:pStyle w:val="Compact"/>
            </w:pPr>
            <w:r>
              <w:t xml:space="preserve">Medio por el cual se recibio (correo, telefono, aplicativo, reunion).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Queja / TNC / NC / CAPA derivada.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Participante, auditoria interna, operacion, otro.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Narrativa completa de la queja o no conformidad.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Referencia_ronda</w:t>
            </w:r>
          </w:p>
        </w:tc>
        <w:tc>
          <w:tcPr/>
          <w:p>
            <w:pPr>
              <w:pStyle w:val="Compact"/>
            </w:pPr>
            <w:r>
              <w:t xml:space="preserve">Codigo de ronda afectada,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Referencia_informe</w:t>
            </w:r>
          </w:p>
        </w:tc>
        <w:tc>
          <w:tcPr/>
          <w:p>
            <w:pPr>
              <w:pStyle w:val="Compact"/>
            </w:pPr>
            <w:r>
              <w:t xml:space="preserve">Codigo de informe afectado (</w:t>
            </w:r>
            <w:r>
              <w:rPr>
                <w:rStyle w:val="VerbatimChar"/>
              </w:rPr>
              <w:t xml:space="preserve">F-PSEA-13</w:t>
            </w:r>
            <w:r>
              <w:t xml:space="preserve">),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Analisis_causa</w:t>
            </w:r>
          </w:p>
        </w:tc>
        <w:tc>
          <w:tcPr/>
          <w:p>
            <w:pPr>
              <w:pStyle w:val="Compact"/>
            </w:pPr>
            <w:r>
              <w:t xml:space="preserve">Causa raiz identificada, si deriva en NC/CAPA.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Accion_inmediata</w:t>
            </w:r>
          </w:p>
        </w:tc>
        <w:tc>
          <w:tcPr/>
          <w:p>
            <w:pPr>
              <w:pStyle w:val="Compact"/>
            </w:pPr>
            <w:r>
              <w:t xml:space="preserve">Correccion o mitigacion aplicada sin demora.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Accion_correctiva</w:t>
            </w:r>
          </w:p>
        </w:tc>
        <w:tc>
          <w:tcPr/>
          <w:p>
            <w:pPr>
              <w:pStyle w:val="Compact"/>
            </w:pPr>
            <w:r>
              <w:t xml:space="preserve">Accion planificada para eliminar la causa raiz.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Responsable_accion</w:t>
            </w:r>
          </w:p>
        </w:tc>
        <w:tc>
          <w:tcPr/>
          <w:p>
            <w:pPr>
              <w:pStyle w:val="Compact"/>
            </w:pPr>
            <w:r>
              <w:t xml:space="preserve">Persona asignada a la accion correctiva.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Fecha_compromiso</w:t>
            </w:r>
          </w:p>
        </w:tc>
        <w:tc>
          <w:tcPr/>
          <w:p>
            <w:pPr>
              <w:pStyle w:val="Compact"/>
            </w:pPr>
            <w:r>
              <w:t xml:space="preserve">Fecha limite para ejecutar la accion.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Verificacion_eficacia</w:t>
            </w:r>
          </w:p>
        </w:tc>
        <w:tc>
          <w:tcPr/>
          <w:p>
            <w:pPr>
              <w:pStyle w:val="Compact"/>
            </w:pPr>
            <w:r>
              <w:t xml:space="preserve">Evidencia de que la accion fue efectiva.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Fecha_cierre</w:t>
            </w:r>
          </w:p>
        </w:tc>
        <w:tc>
          <w:tcPr/>
          <w:p>
            <w:pPr>
              <w:pStyle w:val="Compact"/>
            </w:pPr>
            <w:r>
              <w:t xml:space="preserve">Fecha de cierre del caso.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Abierto / En seguimiento / Cerrado / Escalado.</w:t>
            </w:r>
          </w:p>
        </w:tc>
      </w:tr>
    </w:tbl>
    <w:bookmarkEnd w:id="13"/>
    <w:bookmarkStart w:id="14" w:name="controles-de-calidad"/>
    <w:p>
      <w:pPr>
        <w:pStyle w:val="Heading2"/>
      </w:pPr>
      <w:r>
        <w:t xml:space="preserve">6. Controles de calidad</w:t>
      </w:r>
    </w:p>
    <w:p>
      <w:pPr>
        <w:pStyle w:val="Compact"/>
        <w:numPr>
          <w:ilvl w:val="0"/>
          <w:numId w:val="1004"/>
        </w:numPr>
      </w:pPr>
      <w:r>
        <w:t xml:space="preserve">Cada caso debe tener un ID unico y correlativo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clasificacion como queja, TNC, NC o CAPA debe ser validada por el responsable de calidad.</w:t>
      </w:r>
    </w:p>
    <w:p>
      <w:pPr>
        <w:pStyle w:val="Compact"/>
        <w:numPr>
          <w:ilvl w:val="0"/>
          <w:numId w:val="1004"/>
        </w:numPr>
      </w:pPr>
      <w:r>
        <w:t xml:space="preserve">Las causas raiz y acciones correctivas deben ser verificables y pertinentes.</w:t>
      </w:r>
    </w:p>
    <w:p>
      <w:pPr>
        <w:pStyle w:val="Compact"/>
        <w:numPr>
          <w:ilvl w:val="0"/>
          <w:numId w:val="1004"/>
        </w:numPr>
      </w:pPr>
      <w:r>
        <w:t xml:space="preserve">Los casos cerrados deben contar con evidencia de eficacia antes del cierre.</w:t>
      </w:r>
    </w:p>
    <w:p>
      <w:pPr>
        <w:pStyle w:val="Compact"/>
        <w:numPr>
          <w:ilvl w:val="0"/>
          <w:numId w:val="1004"/>
        </w:numPr>
      </w:pPr>
      <w:r>
        <w:t xml:space="preserve">Los casos que afecten la validez de un informe emitido deben vincularse a</w:t>
      </w:r>
      <w:r>
        <w:t xml:space="preserve"> </w:t>
      </w:r>
      <w:r>
        <w:rPr>
          <w:rStyle w:val="VerbatimChar"/>
        </w:rPr>
        <w:t xml:space="preserve">F-PSEA-13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P-PSEA-09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 informacion sensible debe manejarse conforme a</w:t>
      </w:r>
      <w:r>
        <w:t xml:space="preserve"> </w:t>
      </w:r>
      <w:r>
        <w:rPr>
          <w:rStyle w:val="VerbatimChar"/>
        </w:rPr>
        <w:t xml:space="preserve">P-PSEA-16</w:t>
      </w:r>
      <w:r>
        <w:t xml:space="preserve"> </w:t>
      </w:r>
      <w:r>
        <w:t xml:space="preserve">(control de valores sensibles).</w:t>
      </w:r>
    </w:p>
    <w:bookmarkEnd w:id="14"/>
    <w:bookmarkStart w:id="15" w:name="relaciones-documentales"/>
    <w:p>
      <w:pPr>
        <w:pStyle w:val="Heading2"/>
      </w:pPr>
      <w:r>
        <w:t xml:space="preserve">7. Relaciones documentales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  <w:tc>
          <w:tcPr/>
          <w:p>
            <w:pPr>
              <w:pStyle w:val="Compact"/>
            </w:pPr>
            <w:r>
              <w:t xml:space="preserve">Tipo de vinculo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Procedimiento de TNC/NC/CAPA que gobierna los casos que derivan en no conformidad.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oficiales del PEA.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donde se gestionan los casos SGC.</w:t>
            </w:r>
          </w:p>
        </w:tc>
        <w:tc>
          <w:tcPr/>
          <w:p>
            <w:pPr>
              <w:pStyle w:val="Compact"/>
            </w:pPr>
            <w:r>
              <w:t xml:space="preserve">Obligatorio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Colusion y falsificacion, si el caso lo involucra.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digitales, si la NC afecta registros o informes.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resultados, si el caso lo afecta.</w:t>
            </w:r>
          </w:p>
        </w:tc>
        <w:tc>
          <w:tcPr/>
          <w:p>
            <w:pPr>
              <w:pStyle w:val="Compact"/>
            </w:pPr>
            <w:r>
              <w:t xml:space="preserve">Referencia</w:t>
            </w:r>
          </w:p>
        </w:tc>
      </w:tr>
    </w:tbl>
    <w:bookmarkEnd w:id="15"/>
    <w:bookmarkStart w:id="16" w:name="limites"/>
    <w:p>
      <w:pPr>
        <w:pStyle w:val="Heading2"/>
      </w:pPr>
      <w:r>
        <w:t xml:space="preserve">8. Limites</w:t>
      </w:r>
    </w:p>
    <w:p>
      <w:pPr>
        <w:pStyle w:val="Compact"/>
        <w:numPr>
          <w:ilvl w:val="0"/>
          <w:numId w:val="1005"/>
        </w:numPr>
      </w:pPr>
      <w:r>
        <w:t xml:space="preserve">No es el procedimiento de quejas; es el registro que resulta de su aplicacion (</w:t>
      </w:r>
      <w:r>
        <w:rPr>
          <w:rStyle w:val="VerbatimChar"/>
        </w:rPr>
        <w:t xml:space="preserve">P-PSEA-17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No es el procedimiento de TNC/NC/CAPA; es la evidencia documental del caso (</w:t>
      </w:r>
      <w:r>
        <w:rPr>
          <w:rStyle w:val="VerbatimChar"/>
        </w:rPr>
        <w:t xml:space="preserve">P-PSEA-15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No gestiona apelaciones (</w:t>
      </w:r>
      <w:r>
        <w:rPr>
          <w:rStyle w:val="VerbatimChar"/>
        </w:rPr>
        <w:t xml:space="preserve">P-PSEA-18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F-PSEA-15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Su estructura es preliminar y requiere validacion antes de declararse estable.</w:t>
      </w:r>
    </w:p>
    <w:p>
      <w:pPr>
        <w:pStyle w:val="Compact"/>
        <w:numPr>
          <w:ilvl w:val="0"/>
          <w:numId w:val="1005"/>
        </w:numPr>
      </w:pPr>
      <w:r>
        <w:t xml:space="preserve">No sustituye los registros de comunicacion formal ni los acuerdos de confidencialidad.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2026-06-19T12:35:42Z</dcterms:created>
  <dcterms:modified xsi:type="dcterms:W3CDTF">2026-06-19T12:35:42Z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