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f-psea-15-registro-de-apelaciones"/>
    <w:p>
      <w:pPr>
        <w:pStyle w:val="Heading1"/>
      </w:pPr>
      <w:r>
        <w:t xml:space="preserve">F-PSEA-15: Registro de apelaciones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F-PSEA-15</w:t>
      </w:r>
      <w:r>
        <w:br/>
      </w:r>
      <w:r>
        <w:rPr>
          <w:b/>
          <w:bCs/>
        </w:rPr>
        <w:t xml:space="preserve">Tipo documental:</w:t>
      </w:r>
      <w:r>
        <w:t xml:space="preserve"> </w:t>
      </w:r>
      <w:r>
        <w:t xml:space="preserve">Registro</w:t>
      </w:r>
      <w:r>
        <w:br/>
      </w:r>
      <w:r>
        <w:rPr>
          <w:b/>
          <w:bCs/>
        </w:rPr>
        <w:t xml:space="preserve">Nombre:</w:t>
      </w:r>
      <w:r>
        <w:t xml:space="preserve"> </w:t>
      </w:r>
      <w:r>
        <w:t xml:space="preserve">Registro de apelaciones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2026-06-18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Preliminar — Revisar</w:t>
      </w:r>
      <w:r>
        <w:br/>
      </w:r>
      <w:r>
        <w:rPr>
          <w:b/>
          <w:bCs/>
        </w:rPr>
        <w:t xml:space="preserve">Clase:</w:t>
      </w:r>
      <w:r>
        <w:t xml:space="preserve"> </w:t>
      </w:r>
      <w:r>
        <w:t xml:space="preserve">Ficha preliminar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Documentar la recepcion, evaluacion, decision y cierre de apelaciones presentadas por los participantes contra decisiones del PEA, garantizando imparcialidad, trazabilidad y confidencialidad del proceso.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registro aplica a:</w:t>
      </w:r>
    </w:p>
    <w:p>
      <w:pPr>
        <w:pStyle w:val="Compact"/>
        <w:numPr>
          <w:ilvl w:val="0"/>
          <w:numId w:val="1001"/>
        </w:numPr>
      </w:pPr>
      <w:r>
        <w:t xml:space="preserve">Apelaciones formales recibidas por correo electronico institucional contra resultados de ensayo de aptitud, decisiones de aceptacion/rechazo o cualquier decision del esquema.</w:t>
      </w:r>
    </w:p>
    <w:p>
      <w:pPr>
        <w:pStyle w:val="Compact"/>
        <w:numPr>
          <w:ilvl w:val="0"/>
          <w:numId w:val="1001"/>
        </w:numPr>
      </w:pPr>
      <w:r>
        <w:t xml:space="preserve">Registro del panel revisor, fundamentos, decision y comunicacion al apelante.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Quejas del PEA (eso es</w:t>
      </w:r>
      <w:r>
        <w:t xml:space="preserve"> </w:t>
      </w:r>
      <w:r>
        <w:rPr>
          <w:rStyle w:val="VerbatimChar"/>
        </w:rPr>
        <w:t xml:space="preserve">F-PSEA-14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Comunicaciones generales (eso es</w:t>
      </w:r>
      <w:r>
        <w:t xml:space="preserve"> </w:t>
      </w:r>
      <w:r>
        <w:rPr>
          <w:rStyle w:val="VerbatimChar"/>
        </w:rPr>
        <w:t xml:space="preserve">P-PSEA-05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No conformidades/CAPA (eso se gestiona en</w:t>
      </w:r>
      <w:r>
        <w:t xml:space="preserve"> </w:t>
      </w:r>
      <w:r>
        <w:rPr>
          <w:rStyle w:val="VerbatimChar"/>
        </w:rPr>
        <w:t xml:space="preserve">P-PSEA-15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F-PSEA-14</w:t>
      </w:r>
      <w:r>
        <w:t xml:space="preserve">, aunque una apelacion pueda derivar en ellas).</w:t>
      </w:r>
    </w:p>
    <w:bookmarkEnd w:id="10"/>
    <w:bookmarkStart w:id="11" w:name="responsable-funcional"/>
    <w:p>
      <w:pPr>
        <w:pStyle w:val="Heading2"/>
      </w:pPr>
      <w:r>
        <w:t xml:space="preserve">3. Responsable funcional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Recepcionista oficial del PEA</w:t>
            </w:r>
          </w:p>
        </w:tc>
        <w:tc>
          <w:tcPr/>
          <w:p>
            <w:pPr>
              <w:pStyle w:val="Compact"/>
            </w:pPr>
            <w:r>
              <w:t xml:space="preserve">Recibir la apelacion por correo institucional, confirmar recepcion y asignar numero de registro.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calidad</w:t>
            </w:r>
          </w:p>
        </w:tc>
        <w:tc>
          <w:tcPr/>
          <w:p>
            <w:pPr>
              <w:pStyle w:val="Compact"/>
            </w:pPr>
            <w:r>
              <w:t xml:space="preserve">Validar que la apelacion cumple requisitos formales y coordinar la revision.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revisor</w:t>
            </w:r>
          </w:p>
        </w:tc>
        <w:tc>
          <w:tcPr/>
          <w:p>
            <w:pPr>
              <w:pStyle w:val="Compact"/>
            </w:pPr>
            <w:r>
              <w:t xml:space="preserve">Evaluar la apelacion de manera imparcial y proponer decision fundamentada.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designada</w:t>
            </w:r>
          </w:p>
        </w:tc>
        <w:tc>
          <w:tcPr/>
          <w:p>
            <w:pPr>
              <w:pStyle w:val="Compact"/>
            </w:pPr>
            <w:r>
              <w:t xml:space="preserve">Emitir la decision final y asegurar su comunicacion al apelante.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direccion del PEA</w:t>
            </w:r>
          </w:p>
        </w:tc>
        <w:tc>
          <w:tcPr/>
          <w:p>
            <w:pPr>
              <w:pStyle w:val="Compact"/>
            </w:pPr>
            <w:r>
              <w:t xml:space="preserve">Resolver conflictos de interes y aprobar decisiones que afecten la validez del esquema.</w:t>
            </w:r>
          </w:p>
        </w:tc>
      </w:tr>
    </w:tbl>
    <w:bookmarkEnd w:id="11"/>
    <w:bookmarkStart w:id="12" w:name="momento-de-uso"/>
    <w:p>
      <w:pPr>
        <w:pStyle w:val="Heading2"/>
      </w:pPr>
      <w:r>
        <w:t xml:space="preserve">4. Momento de uso</w:t>
      </w:r>
    </w:p>
    <w:p>
      <w:pPr>
        <w:pStyle w:val="Compact"/>
        <w:numPr>
          <w:ilvl w:val="0"/>
          <w:numId w:val="1003"/>
        </w:numPr>
      </w:pPr>
      <w:r>
        <w:t xml:space="preserve">Al recibir una apelacion formal dentro del plazo establecido.</w:t>
      </w:r>
    </w:p>
    <w:p>
      <w:pPr>
        <w:pStyle w:val="Compact"/>
        <w:numPr>
          <w:ilvl w:val="0"/>
          <w:numId w:val="1003"/>
        </w:numPr>
      </w:pPr>
      <w:r>
        <w:t xml:space="preserve">Durante la conformacion y actuacion del panel revisor.</w:t>
      </w:r>
    </w:p>
    <w:p>
      <w:pPr>
        <w:pStyle w:val="Compact"/>
        <w:numPr>
          <w:ilvl w:val="0"/>
          <w:numId w:val="1003"/>
        </w:numPr>
      </w:pPr>
      <w:r>
        <w:t xml:space="preserve">Al comunicar la decision al apelante.</w:t>
      </w:r>
    </w:p>
    <w:p>
      <w:pPr>
        <w:pStyle w:val="Compact"/>
        <w:numPr>
          <w:ilvl w:val="0"/>
          <w:numId w:val="1003"/>
        </w:numPr>
      </w:pPr>
      <w:r>
        <w:t xml:space="preserve">Al cerrar el caso y archivar la evidencia.</w:t>
      </w:r>
    </w:p>
    <w:p>
      <w:pPr>
        <w:pStyle w:val="Compact"/>
        <w:numPr>
          <w:ilvl w:val="0"/>
          <w:numId w:val="1003"/>
        </w:numPr>
      </w:pPr>
      <w:r>
        <w:t xml:space="preserve">Cuando una apelacion deriva en NC/CAPA o afecta un informe emitido.</w:t>
      </w:r>
    </w:p>
    <w:bookmarkEnd w:id="12"/>
    <w:bookmarkStart w:id="13" w:name="campos-minimos"/>
    <w:p>
      <w:pPr>
        <w:pStyle w:val="Heading2"/>
      </w:pPr>
      <w:r>
        <w:t xml:space="preserve">5. Campos minimos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ID_apelacion</w:t>
            </w:r>
          </w:p>
        </w:tc>
        <w:tc>
          <w:tcPr/>
          <w:p>
            <w:pPr>
              <w:pStyle w:val="Compact"/>
            </w:pPr>
            <w:r>
              <w:t xml:space="preserve">Codigo unico de seguimiento (ej. APEL-AAAA-NNN).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Fecha_recepcion</w:t>
            </w:r>
          </w:p>
        </w:tc>
        <w:tc>
          <w:tcPr/>
          <w:p>
            <w:pPr>
              <w:pStyle w:val="Compact"/>
            </w:pPr>
            <w:r>
              <w:t xml:space="preserve">Fecha y hora de recepcion del correo de apelacion.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Apelante</w:t>
            </w:r>
          </w:p>
        </w:tc>
        <w:tc>
          <w:tcPr/>
          <w:p>
            <w:pPr>
              <w:pStyle w:val="Compact"/>
            </w:pPr>
            <w:r>
              <w:t xml:space="preserve">Nombre, laboratorio y datos de contacto del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Decision_apelada</w:t>
            </w:r>
          </w:p>
        </w:tc>
        <w:tc>
          <w:tcPr/>
          <w:p>
            <w:pPr>
              <w:pStyle w:val="Compact"/>
            </w:pPr>
            <w:r>
              <w:t xml:space="preserve">Decision del PEA que se apela (resultado, informe, criterio aplicado).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Ronda_informe_afectado</w:t>
            </w:r>
          </w:p>
        </w:tc>
        <w:tc>
          <w:tcPr/>
          <w:p>
            <w:pPr>
              <w:pStyle w:val="Compact"/>
            </w:pPr>
            <w:r>
              <w:t xml:space="preserve">Codigo de ronda o informe (</w:t>
            </w:r>
            <w:r>
              <w:rPr>
                <w:rStyle w:val="VerbatimChar"/>
              </w:rPr>
              <w:t xml:space="preserve">F-PSEA-13</w:t>
            </w:r>
            <w:r>
              <w:t xml:space="preserve">) objeto de la apelacion.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Fundamento_apelacion</w:t>
            </w:r>
          </w:p>
        </w:tc>
        <w:tc>
          <w:tcPr/>
          <w:p>
            <w:pPr>
              <w:pStyle w:val="Compact"/>
            </w:pPr>
            <w:r>
              <w:t xml:space="preserve">Argumentos y evidencias presentadas por el apelante.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Requisitos_formales</w:t>
            </w:r>
          </w:p>
        </w:tc>
        <w:tc>
          <w:tcPr/>
          <w:p>
            <w:pPr>
              <w:pStyle w:val="Compact"/>
            </w:pPr>
            <w:r>
              <w:t xml:space="preserve">Verificacion de plazo, forma y documentacion adjunta.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Miembros_panel</w:t>
            </w:r>
          </w:p>
        </w:tc>
        <w:tc>
          <w:tcPr/>
          <w:p>
            <w:pPr>
              <w:pStyle w:val="Compact"/>
            </w:pPr>
            <w:r>
              <w:t xml:space="preserve">Nombres y roles de quienes evaluan la apelacion.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Analisis_tecnico</w:t>
            </w:r>
          </w:p>
        </w:tc>
        <w:tc>
          <w:tcPr/>
          <w:p>
            <w:pPr>
              <w:pStyle w:val="Compact"/>
            </w:pPr>
            <w:r>
              <w:t xml:space="preserve">Evaluacion del panel sobre la decision apelada.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Decision_panel</w:t>
            </w:r>
          </w:p>
        </w:tc>
        <w:tc>
          <w:tcPr/>
          <w:p>
            <w:pPr>
              <w:pStyle w:val="Compact"/>
            </w:pPr>
            <w:r>
              <w:t xml:space="preserve">Decision fundamentada: a favor / en contra / parcial.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Acciones_derivadas</w:t>
            </w:r>
          </w:p>
        </w:tc>
        <w:tc>
          <w:tcPr/>
          <w:p>
            <w:pPr>
              <w:pStyle w:val="Compact"/>
            </w:pPr>
            <w:r>
              <w:t xml:space="preserve">NC/CAPA, correccion de informe u otras acciones, si aplica.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Fecha_decision</w:t>
            </w:r>
          </w:p>
        </w:tc>
        <w:tc>
          <w:tcPr/>
          <w:p>
            <w:pPr>
              <w:pStyle w:val="Compact"/>
            </w:pPr>
            <w:r>
              <w:t xml:space="preserve">Fecha de emision de la decision.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Fecha_comunicacion</w:t>
            </w:r>
          </w:p>
        </w:tc>
        <w:tc>
          <w:tcPr/>
          <w:p>
            <w:pPr>
              <w:pStyle w:val="Compact"/>
            </w:pPr>
            <w:r>
              <w:t xml:space="preserve">Fecha de envio de la respuesta al apelante.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Medio_comunicacion</w:t>
            </w:r>
          </w:p>
        </w:tc>
        <w:tc>
          <w:tcPr/>
          <w:p>
            <w:pPr>
              <w:pStyle w:val="Compact"/>
            </w:pPr>
            <w:r>
              <w:t xml:space="preserve">Correo formal u otro canal oficial.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Fecha_cierre</w:t>
            </w:r>
          </w:p>
        </w:tc>
        <w:tc>
          <w:tcPr/>
          <w:p>
            <w:pPr>
              <w:pStyle w:val="Compact"/>
            </w:pPr>
            <w:r>
              <w:t xml:space="preserve">Fecha de cierre del caso.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Recibida / En revision / Decidida / Cerrada.</w:t>
            </w:r>
          </w:p>
        </w:tc>
      </w:tr>
    </w:tbl>
    <w:bookmarkEnd w:id="13"/>
    <w:bookmarkStart w:id="14" w:name="controles-de-calidad"/>
    <w:p>
      <w:pPr>
        <w:pStyle w:val="Heading2"/>
      </w:pPr>
      <w:r>
        <w:t xml:space="preserve">6. Controles de calidad</w:t>
      </w:r>
    </w:p>
    <w:p>
      <w:pPr>
        <w:pStyle w:val="Compact"/>
        <w:numPr>
          <w:ilvl w:val="0"/>
          <w:numId w:val="1004"/>
        </w:numPr>
      </w:pPr>
      <w:r>
        <w:t xml:space="preserve">La apelacion debe recibirse por correo electronico institucional; no se gestiona en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El panel revisor debe ser imparcial y no tener conflicto de interes con el apelante.</w:t>
      </w:r>
    </w:p>
    <w:p>
      <w:pPr>
        <w:pStyle w:val="Compact"/>
        <w:numPr>
          <w:ilvl w:val="0"/>
          <w:numId w:val="1004"/>
        </w:numPr>
      </w:pPr>
      <w:r>
        <w:t xml:space="preserve">La decision debe estar fundamentada tecnicamente y documentarse antes de su comunicacion.</w:t>
      </w:r>
    </w:p>
    <w:p>
      <w:pPr>
        <w:pStyle w:val="Compact"/>
        <w:numPr>
          <w:ilvl w:val="0"/>
          <w:numId w:val="1004"/>
        </w:numPr>
      </w:pPr>
      <w:r>
        <w:t xml:space="preserve">La respuesta al apelante debe enviarse por el mismo canal formal de recepcion.</w:t>
      </w:r>
    </w:p>
    <w:p>
      <w:pPr>
        <w:pStyle w:val="Compact"/>
        <w:numPr>
          <w:ilvl w:val="0"/>
          <w:numId w:val="1004"/>
        </w:numPr>
      </w:pPr>
      <w:r>
        <w:t xml:space="preserve">La informacion sensible debe protegerse conforme a</w:t>
      </w:r>
      <w:r>
        <w:t xml:space="preserve"> </w:t>
      </w:r>
      <w:r>
        <w:rPr>
          <w:rStyle w:val="VerbatimChar"/>
        </w:rPr>
        <w:t xml:space="preserve">P-PSEA-16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Si la apelacion deriva en NC/CAPA, debe vincularse a</w:t>
      </w:r>
      <w:r>
        <w:t xml:space="preserve"> </w:t>
      </w:r>
      <w:r>
        <w:rPr>
          <w:rStyle w:val="VerbatimChar"/>
        </w:rPr>
        <w:t xml:space="preserve">P-PSEA-15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F-PSEA-14</w:t>
      </w:r>
      <w:r>
        <w:t xml:space="preserve">.</w:t>
      </w:r>
    </w:p>
    <w:bookmarkEnd w:id="14"/>
    <w:bookmarkStart w:id="15" w:name="relaciones-documentales"/>
    <w:p>
      <w:pPr>
        <w:pStyle w:val="Heading2"/>
      </w:pPr>
      <w:r>
        <w:t xml:space="preserve">7. Relaciones documentales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  <w:tc>
          <w:tcPr/>
          <w:p>
            <w:pPr>
              <w:pStyle w:val="Compact"/>
            </w:pPr>
            <w:r>
              <w:t xml:space="preserve">Tipo de vinculo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P-PSEA-18</w:t>
            </w:r>
          </w:p>
        </w:tc>
        <w:tc>
          <w:tcPr/>
          <w:p>
            <w:pPr>
              <w:pStyle w:val="Compact"/>
            </w:pPr>
            <w:r>
              <w:t xml:space="preserve">Procedimiento de apelaciones del PEA.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P-PSEA-15</w:t>
            </w:r>
          </w:p>
        </w:tc>
        <w:tc>
          <w:tcPr/>
          <w:p>
            <w:pPr>
              <w:pStyle w:val="Compact"/>
            </w:pPr>
            <w:r>
              <w:t xml:space="preserve">Procedimiento de TNC/NC/CAPA, si la apelacion deriva en no conformidad.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Comunicaciones oficiales del PEA.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P-PSEA-16</w:t>
            </w:r>
          </w:p>
        </w:tc>
        <w:tc>
          <w:tcPr/>
          <w:p>
            <w:pPr>
              <w:pStyle w:val="Compact"/>
            </w:pPr>
            <w:r>
              <w:t xml:space="preserve">Control de valores sensibles en apelaciones.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P-PSEA-17</w:t>
            </w:r>
          </w:p>
        </w:tc>
        <w:tc>
          <w:tcPr/>
          <w:p>
            <w:pPr>
              <w:pStyle w:val="Compact"/>
            </w:pPr>
            <w:r>
              <w:t xml:space="preserve">Quejas del PEA (diferenciadas de apelaciones).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Informe final de resultados, si es objeto de apelacion.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F-PSEA-14</w:t>
            </w:r>
          </w:p>
        </w:tc>
        <w:tc>
          <w:tcPr/>
          <w:p>
            <w:pPr>
              <w:pStyle w:val="Compact"/>
            </w:pPr>
            <w:r>
              <w:t xml:space="preserve">Registro de caso de queja o NC, si la apelacion deriva en NC/CAPA.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</w:tbl>
    <w:bookmarkEnd w:id="15"/>
    <w:bookmarkStart w:id="16" w:name="limites"/>
    <w:p>
      <w:pPr>
        <w:pStyle w:val="Heading2"/>
      </w:pPr>
      <w:r>
        <w:t xml:space="preserve">8. Limites</w:t>
      </w:r>
    </w:p>
    <w:p>
      <w:pPr>
        <w:pStyle w:val="Compact"/>
        <w:numPr>
          <w:ilvl w:val="0"/>
          <w:numId w:val="1005"/>
        </w:numPr>
      </w:pPr>
      <w:r>
        <w:t xml:space="preserve">No es el procedimiento de apelaciones; es el registro que resulta de su aplicacion (</w:t>
      </w:r>
      <w:r>
        <w:rPr>
          <w:rStyle w:val="VerbatimChar"/>
        </w:rPr>
        <w:t xml:space="preserve">P-PSEA-18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No se gestiona en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; su canal oficial es el correo electronico institucional.</w:t>
      </w:r>
    </w:p>
    <w:p>
      <w:pPr>
        <w:pStyle w:val="Compact"/>
        <w:numPr>
          <w:ilvl w:val="0"/>
          <w:numId w:val="1005"/>
        </w:numPr>
      </w:pPr>
      <w:r>
        <w:t xml:space="preserve">No registra quejas (eso es</w:t>
      </w:r>
      <w:r>
        <w:t xml:space="preserve"> </w:t>
      </w:r>
      <w:r>
        <w:rPr>
          <w:rStyle w:val="VerbatimChar"/>
        </w:rPr>
        <w:t xml:space="preserve">F-PSEA-14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Su estructura es preliminar y requiere validacion antes de declararse estable.</w:t>
      </w:r>
    </w:p>
    <w:p>
      <w:pPr>
        <w:pStyle w:val="Compact"/>
        <w:numPr>
          <w:ilvl w:val="0"/>
          <w:numId w:val="1005"/>
        </w:numPr>
      </w:pPr>
      <w:r>
        <w:t xml:space="preserve">No sustituye la comunicacion formal ni los plazos definidos en el procedimiento.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2026-06-19T12:35:42Z</dcterms:created>
  <dcterms:modified xsi:type="dcterms:W3CDTF">2026-06-19T12:35:42Z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