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-psea-12-control-documental-del-pea"/>
    <w:p>
      <w:pPr>
        <w:pStyle w:val="Heading1"/>
      </w:pPr>
      <w:r>
        <w:t xml:space="preserve">P-PSEA-12 — Control Documental del PEA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P-PSEA-12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2 — Procedimiento del Sistema de Gestión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Cláusulas ISO/IEC 17043:2023:</w:t>
      </w:r>
      <w:r>
        <w:t xml:space="preserve"> </w:t>
      </w:r>
      <w:r>
        <w:t xml:space="preserve">8.3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Oleada 3 (gobernanza)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Procedimiento independiente del PEA para el control de toda la información documentada del SGC de ensayos de aptitud. Define aprobación, distribución, edición, control de cambios, versionamiento, retirada de documentos obsoletos y acceso controlado. Aunque el laboratorio 17025 tiene su propio control documental, este procedimiento es autónomo y exclusivo para el SGC del PEA conforme a ISO/IEC 17043:2023 §8.3.</w:t>
      </w:r>
    </w:p>
    <w:bookmarkEnd w:id="9"/>
    <w:bookmarkStart w:id="10" w:name="contenido-esperado"/>
    <w:p>
      <w:pPr>
        <w:pStyle w:val="Heading2"/>
      </w:pPr>
      <w:r>
        <w:t xml:space="preserve">Contenido esperado</w:t>
      </w:r>
    </w:p>
    <w:p>
      <w:pPr>
        <w:pStyle w:val="Compact"/>
        <w:numPr>
          <w:ilvl w:val="0"/>
          <w:numId w:val="1001"/>
        </w:numPr>
      </w:pPr>
      <w:r>
        <w:t xml:space="preserve">Creación y aprobación de documentos del PEA</w:t>
      </w:r>
    </w:p>
    <w:p>
      <w:pPr>
        <w:pStyle w:val="Compact"/>
        <w:numPr>
          <w:ilvl w:val="0"/>
          <w:numId w:val="1001"/>
        </w:numPr>
      </w:pPr>
      <w:r>
        <w:t xml:space="preserve">Distribución controlada</w:t>
      </w:r>
    </w:p>
    <w:p>
      <w:pPr>
        <w:pStyle w:val="Compact"/>
        <w:numPr>
          <w:ilvl w:val="0"/>
          <w:numId w:val="1001"/>
        </w:numPr>
      </w:pPr>
      <w:r>
        <w:t xml:space="preserve">Control de cambios y versionamiento</w:t>
      </w:r>
    </w:p>
    <w:p>
      <w:pPr>
        <w:pStyle w:val="Compact"/>
        <w:numPr>
          <w:ilvl w:val="0"/>
          <w:numId w:val="1001"/>
        </w:numPr>
      </w:pPr>
      <w:r>
        <w:t xml:space="preserve">Identificación y codificación (nomenclatura P-PSEA-##)</w:t>
      </w:r>
    </w:p>
    <w:p>
      <w:pPr>
        <w:pStyle w:val="Compact"/>
        <w:numPr>
          <w:ilvl w:val="0"/>
          <w:numId w:val="1001"/>
        </w:numPr>
      </w:pPr>
      <w:r>
        <w:t xml:space="preserve">Retiro de documentos obsoletos</w:t>
      </w:r>
    </w:p>
    <w:p>
      <w:pPr>
        <w:pStyle w:val="Compact"/>
        <w:numPr>
          <w:ilvl w:val="0"/>
          <w:numId w:val="1001"/>
        </w:numPr>
      </w:pPr>
      <w:r>
        <w:t xml:space="preserve">Control de documentos externos</w:t>
      </w:r>
    </w:p>
    <w:p>
      <w:pPr>
        <w:pStyle w:val="Compact"/>
        <w:numPr>
          <w:ilvl w:val="0"/>
          <w:numId w:val="1001"/>
        </w:numPr>
      </w:pPr>
      <w:r>
        <w:t xml:space="preserve">Acceso y permisos</w:t>
      </w:r>
    </w:p>
    <w:bookmarkEnd w:id="10"/>
    <w:bookmarkStart w:id="11" w:name="dependencias"/>
    <w:p>
      <w:pPr>
        <w:pStyle w:val="Heading2"/>
      </w:pPr>
      <w:r>
        <w:t xml:space="preserve">Dependencias</w:t>
      </w:r>
    </w:p>
    <w:p>
      <w:pPr>
        <w:pStyle w:val="Compact"/>
        <w:numPr>
          <w:ilvl w:val="0"/>
          <w:numId w:val="1002"/>
        </w:numPr>
      </w:pPr>
      <w:r>
        <w:t xml:space="preserve">DG-PSEA-01</w:t>
      </w:r>
    </w:p>
    <w:p>
      <w:r>
        <w:pict>
          <v:rect style="width:0;height:1.5pt" o:hralign="center" o:hrstd="t" o:hr="t"/>
        </w:pict>
      </w:r>
    </w:p>
    <w:bookmarkEnd w:id="11"/>
    <w:bookmarkStart w:id="12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Gobernanza: aprobación, distribución, cambios de documentos del PEA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2026-06-19T12:35:43Z</dcterms:created>
  <dcterms:modified xsi:type="dcterms:W3CDTF">2026-06-19T12:35:43Z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