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-psea-19-monitoreo-de-imparcialidad"/>
    <w:p>
      <w:pPr>
        <w:pStyle w:val="Heading1"/>
      </w:pPr>
      <w:r>
        <w:t xml:space="preserve">P-PSEA-19 — Monitoreo de Imparcialidad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P-PSEA-19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 — Procedimiento del Sistema de Gestión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4.1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Oleada 3 (gobernanza)</w:t>
      </w:r>
    </w:p>
    <w:p>
      <w:r>
        <w:pict>
          <v:rect style="width:0;height:1.5pt" o:hralign="center" o:hrstd="t" o:hr="t"/>
        </w:pict>
      </w:r>
    </w:p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Procedimiento exclusivo del PEA para el monitoreo continuo de la imparcialidad en el esquema de EA. Define cómo se identifican, evalúan y eliminan amenazas a la imparcialidad, tanto internas (conflictos de interés del personal, relación laboratorio-PEA</w:t>
      </w:r>
      <w:r>
        <w:t xml:space="preserve"> </w:t>
      </w:r>
      <w:r>
        <w:t xml:space="preserve">“juez y parte”</w:t>
      </w:r>
      <w:r>
        <w:t xml:space="preserve">) como externas (presiones comerciales, relaciones con participantes). Incluye declaraciones de imparcialidad, mecanismos de salvaguarda y revisión periódica. Crítico para CALAIRE-EA dado el riesgo inherente de que el laboratorio también sea proveedor de PT.</w:t>
      </w:r>
    </w:p>
    <w:bookmarkEnd w:id="11"/>
    <w:bookmarkStart w:id="12" w:name="contenido-esperado"/>
    <w:p>
      <w:pPr>
        <w:pStyle w:val="Heading2"/>
      </w:pPr>
      <w:r>
        <w:t xml:space="preserve">Contenido esperado</w:t>
      </w:r>
    </w:p>
    <w:p>
      <w:pPr>
        <w:pStyle w:val="Compact"/>
        <w:numPr>
          <w:ilvl w:val="0"/>
          <w:numId w:val="1001"/>
        </w:numPr>
      </w:pPr>
      <w:r>
        <w:t xml:space="preserve">Identificación de amenazas a la imparcialidad (tipología)</w:t>
      </w:r>
    </w:p>
    <w:p>
      <w:pPr>
        <w:pStyle w:val="Compact"/>
        <w:numPr>
          <w:ilvl w:val="0"/>
          <w:numId w:val="1001"/>
        </w:numPr>
      </w:pPr>
      <w:r>
        <w:t xml:space="preserve">Evaluación y clasificación de amenazas</w:t>
      </w:r>
    </w:p>
    <w:p>
      <w:pPr>
        <w:pStyle w:val="Compact"/>
        <w:numPr>
          <w:ilvl w:val="0"/>
          <w:numId w:val="1001"/>
        </w:numPr>
      </w:pPr>
      <w:r>
        <w:t xml:space="preserve">Mecanismos de salvaguarda y mitigación</w:t>
      </w:r>
    </w:p>
    <w:p>
      <w:pPr>
        <w:pStyle w:val="Compact"/>
        <w:numPr>
          <w:ilvl w:val="0"/>
          <w:numId w:val="1001"/>
        </w:numPr>
      </w:pPr>
      <w:r>
        <w:t xml:space="preserve">Declaraciones de imparcialidad del personal</w:t>
      </w:r>
    </w:p>
    <w:p>
      <w:pPr>
        <w:pStyle w:val="Compact"/>
        <w:numPr>
          <w:ilvl w:val="0"/>
          <w:numId w:val="1001"/>
        </w:numPr>
      </w:pPr>
      <w:r>
        <w:t xml:space="preserve">Separación de roles laboratorio vs. PEA</w:t>
      </w:r>
    </w:p>
    <w:p>
      <w:pPr>
        <w:pStyle w:val="Compact"/>
        <w:numPr>
          <w:ilvl w:val="0"/>
          <w:numId w:val="1001"/>
        </w:numPr>
      </w:pPr>
      <w:r>
        <w:t xml:space="preserve">Revisión periódica de la imparcialidad</w:t>
      </w:r>
    </w:p>
    <w:p>
      <w:pPr>
        <w:pStyle w:val="Compact"/>
        <w:numPr>
          <w:ilvl w:val="0"/>
          <w:numId w:val="1001"/>
        </w:numPr>
      </w:pPr>
      <w:r>
        <w:t xml:space="preserve">Formato asociado: F-PSEA-22 (Matriz de Riesgos de Imparcialidad)</w:t>
      </w:r>
    </w:p>
    <w:bookmarkEnd w:id="12"/>
    <w:bookmarkStart w:id="13" w:name="dependencias"/>
    <w:p>
      <w:pPr>
        <w:pStyle w:val="Heading2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DG-PSEA-01</w:t>
      </w:r>
    </w:p>
    <w:p>
      <w:pPr>
        <w:pStyle w:val="Compact"/>
        <w:numPr>
          <w:ilvl w:val="0"/>
          <w:numId w:val="1002"/>
        </w:numPr>
      </w:pPr>
      <w:r>
        <w:t xml:space="preserve">Relacionado con P-PSEA-08, P-PSEA-14</w:t>
      </w:r>
    </w:p>
    <w:p>
      <w:r>
        <w:pict>
          <v:rect style="width:0;height:1.5pt" o:hralign="center" o:hrstd="t" o:hr="t"/>
        </w:pict>
      </w:r>
    </w:p>
    <w:bookmarkEnd w:id="13"/>
    <w:bookmarkStart w:id="14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4.1.4, 4.1.5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Exclusivo EA: segregación laboratorio/PEA, declaraciones, Comité Técnico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4"/>
    <w:bookmarkEnd w:id="15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P-PSEA-19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CONFIDENCIALIDAD OPERATIVA INTERNA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