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7b40e2d2ad204d8cd73ffb347e2ceaf1756d746"/>
    <w:p>
      <w:pPr>
        <w:pStyle w:val="Heading1"/>
      </w:pPr>
      <w:r>
        <w:t xml:space="preserve">F-PSEA-08 — Registro de Preparación del Ítem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F-PSEA-08</w:t>
      </w:r>
      <w:r>
        <w:br/>
      </w:r>
      <w:r>
        <w:rPr>
          <w:b/>
          <w:bCs/>
        </w:rPr>
        <w:t xml:space="preserve">Nivel:</w:t>
      </w:r>
      <w:r>
        <w:t xml:space="preserve"> </w:t>
      </w:r>
      <w:r>
        <w:t xml:space="preserve">4 — Formato / Registro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placeholder — copia de trabajo (EA-PP2026-R1)</w:t>
      </w:r>
      <w:r>
        <w:br/>
      </w:r>
      <w:r>
        <w:rPr>
          <w:b/>
          <w:bCs/>
        </w:rPr>
        <w:t xml:space="preserve">Oleada:</w:t>
      </w:r>
      <w:r>
        <w:t xml:space="preserve"> </w:t>
      </w:r>
      <w:r>
        <w:t xml:space="preserve">1</w:t>
      </w:r>
      <w:r>
        <w:br/>
      </w:r>
      <w:r>
        <w:rPr>
          <w:b/>
          <w:bCs/>
        </w:rPr>
        <w:t xml:space="preserve">Prioridad:</w:t>
      </w:r>
      <w:r>
        <w:t xml:space="preserve"> </w:t>
      </w:r>
      <w:r>
        <w:t xml:space="preserve">🔴 Crítica</w:t>
      </w:r>
    </w:p>
    <w:p>
      <w:r>
        <w:pict>
          <v:rect style="width:0;height:1.5pt" o:hralign="center" o:hrstd="t" o:hr="t"/>
        </w:pict>
      </w:r>
    </w:p>
    <w:bookmarkStart w:id="9" w:name="descripción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Registro de la preparación/generación de cada ítem PT utilizado en la ronda. Para CALAIRE-EA (atmósferas generadas in situ): identifica el CRM utilizado, certificado del CRM, sistema de dilución, caudales configurados, concentración objetivo, concentración medida con método de referencia, condiciones ambientales (T, P, HR), fecha/hora, operador y criterio de aceptación. Soporta la trazabilidad metrológica.</w:t>
      </w:r>
    </w:p>
    <w:p>
      <w:r>
        <w:pict>
          <v:rect style="width:0;height:1.5pt" o:hralign="center" o:hrstd="t" o:hr="t"/>
        </w:pict>
      </w:r>
    </w:p>
    <w:bookmarkEnd w:id="9"/>
    <w:bookmarkStart w:id="10" w:name="trazabilidad-normativa"/>
    <w:p>
      <w:pPr>
        <w:pStyle w:val="Heading2"/>
      </w:pPr>
      <w:r>
        <w:t xml:space="preserve">Trazabilidad Normativa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Norma</w:t>
            </w:r>
          </w:p>
        </w:tc>
        <w:tc>
          <w:tcPr/>
          <w:p>
            <w:pPr>
              <w:pStyle w:val="Compact"/>
            </w:pPr>
            <w:r>
              <w:t xml:space="preserve">Cláusula(s)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17043:2023</w:t>
            </w:r>
          </w:p>
        </w:tc>
        <w:tc>
          <w:tcPr/>
          <w:p>
            <w:pPr>
              <w:pStyle w:val="Compact"/>
            </w:pPr>
            <w:r>
              <w:t xml:space="preserve">7.3.1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13528:2022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Justificación:</w:t>
      </w:r>
      <w:r>
        <w:t xml:space="preserve"> </w:t>
      </w:r>
      <w:r>
        <w:t xml:space="preserve">Trazabilidad de la preparación del ítem</w:t>
      </w:r>
    </w:p>
    <w:p>
      <w:pPr>
        <w:pStyle w:val="BlockTex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trazabilidad_normativa_sgc.md</w:t>
      </w:r>
    </w:p>
    <w:p>
      <w:r>
        <w:pict>
          <v:rect style="width:0;height:1.5pt" o:hralign="center" o:hrstd="t" o:hr="t"/>
        </w:pict>
      </w:r>
    </w:p>
    <w:bookmarkEnd w:id="10"/>
    <w:bookmarkStart w:id="12" w:name="planificación-de-contenido-ronda-simple"/>
    <w:p>
      <w:pPr>
        <w:pStyle w:val="Heading2"/>
      </w:pPr>
      <w:r>
        <w:t xml:space="preserve">Planificación de Contenido — Ronda Simple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5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 esperado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 de ítem PT</w:t>
            </w:r>
          </w:p>
        </w:tc>
        <w:tc>
          <w:tcPr/>
          <w:p>
            <w:pPr>
              <w:pStyle w:val="Compact"/>
            </w:pPr>
            <w:r>
              <w:t xml:space="preserve">Atmósferas generadas in situ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Sistema generador</w:t>
            </w:r>
          </w:p>
        </w:tc>
        <w:tc>
          <w:tcPr/>
          <w:p>
            <w:pPr>
              <w:pStyle w:val="Compact"/>
            </w:pPr>
            <w:r>
              <w:t xml:space="preserve">Calibrador dinámico / T700 o equivalente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Analitos</w:t>
            </w:r>
          </w:p>
        </w:tc>
        <w:tc>
          <w:tcPr/>
          <w:p>
            <w:pPr>
              <w:pStyle w:val="Compact"/>
            </w:pPr>
            <w:r>
              <w:t xml:space="preserve">CO, SO₂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CRM fuente</w:t>
            </w:r>
          </w:p>
        </w:tc>
        <w:tc>
          <w:tcPr/>
          <w:p>
            <w:pPr>
              <w:pStyle w:val="Compact"/>
            </w:pPr>
            <w:r>
              <w:t xml:space="preserve">Cilindros certificados de CO y SO₂ (certificados vigentes)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Modo de generación</w:t>
            </w:r>
          </w:p>
        </w:tc>
        <w:tc>
          <w:tcPr/>
          <w:p>
            <w:pPr>
              <w:pStyle w:val="Compact"/>
            </w:pPr>
            <w:r>
              <w:t xml:space="preserve">Dilución dinámica desde CRM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Caudal de dilución</w:t>
            </w:r>
          </w:p>
        </w:tc>
        <w:tc>
          <w:tcPr/>
          <w:p>
            <w:pPr>
              <w:pStyle w:val="Compact"/>
            </w:pPr>
            <w:r>
              <w:t xml:space="preserve">Por configurar según nivel objetivo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Condiciones ambientales</w:t>
            </w:r>
          </w:p>
        </w:tc>
        <w:tc>
          <w:tcPr/>
          <w:p>
            <w:pPr>
              <w:pStyle w:val="Compact"/>
            </w:pPr>
            <w:r>
              <w:t xml:space="preserve">T, P, HR del laboratorio a registrar</w:t>
            </w:r>
          </w:p>
        </w:tc>
      </w:tr>
    </w:tbl>
    <w:bookmarkStart w:id="11" w:name="campos-a-completar"/>
    <w:p>
      <w:pPr>
        <w:pStyle w:val="Heading3"/>
      </w:pPr>
      <w:r>
        <w:t xml:space="preserve">Campos a completar</w:t>
      </w:r>
    </w:p>
    <w:p>
      <w:pPr>
        <w:pStyle w:val="Compact"/>
        <w:numPr>
          <w:ilvl w:val="0"/>
          <w:numId w:val="1001"/>
        </w:numPr>
      </w:pPr>
      <w:r>
        <w:t xml:space="preserve">Identificación del CRM (número de cilindro, certificado, fecha vencimiento) — CO</w:t>
      </w:r>
    </w:p>
    <w:p>
      <w:pPr>
        <w:pStyle w:val="Compact"/>
        <w:numPr>
          <w:ilvl w:val="0"/>
          <w:numId w:val="1002"/>
        </w:numPr>
      </w:pPr>
      <w:r>
        <w:t xml:space="preserve">Identificación del CRM (número de cilindro, certificado, fecha vencimiento) — SO₂</w:t>
      </w:r>
    </w:p>
    <w:p>
      <w:pPr>
        <w:pStyle w:val="Compact"/>
        <w:numPr>
          <w:ilvl w:val="0"/>
          <w:numId w:val="1003"/>
        </w:numPr>
      </w:pPr>
      <w:r>
        <w:t xml:space="preserve">Sistema de dilución utilizado (modelo, serie, calibración vigente)</w:t>
      </w:r>
    </w:p>
    <w:p>
      <w:pPr>
        <w:pStyle w:val="Compact"/>
        <w:numPr>
          <w:ilvl w:val="0"/>
          <w:numId w:val="1004"/>
        </w:numPr>
      </w:pPr>
      <w:r>
        <w:t xml:space="preserve">Caudales configurados (Q_CRM, Q_dilución, Q_total)</w:t>
      </w:r>
    </w:p>
    <w:p>
      <w:pPr>
        <w:pStyle w:val="Compact"/>
        <w:numPr>
          <w:ilvl w:val="0"/>
          <w:numId w:val="1005"/>
        </w:numPr>
      </w:pPr>
      <w:r>
        <w:t xml:space="preserve">Concentración objetivo (setpoint) por analito</w:t>
      </w:r>
    </w:p>
    <w:p>
      <w:pPr>
        <w:pStyle w:val="Compact"/>
        <w:numPr>
          <w:ilvl w:val="0"/>
          <w:numId w:val="1006"/>
        </w:numPr>
      </w:pPr>
      <w:r>
        <w:t xml:space="preserve">Concentración medida (método de referencia) por analito</w:t>
      </w:r>
    </w:p>
    <w:p>
      <w:pPr>
        <w:pStyle w:val="Compact"/>
        <w:numPr>
          <w:ilvl w:val="0"/>
          <w:numId w:val="1007"/>
        </w:numPr>
      </w:pPr>
      <w:r>
        <w:t xml:space="preserve">Condiciones ambientales: T (°C), P (kPa), HR (%)</w:t>
      </w:r>
    </w:p>
    <w:p>
      <w:pPr>
        <w:pStyle w:val="Compact"/>
        <w:numPr>
          <w:ilvl w:val="0"/>
          <w:numId w:val="1008"/>
        </w:numPr>
      </w:pPr>
      <w:r>
        <w:t xml:space="preserve">Fecha y hora de generación</w:t>
      </w:r>
    </w:p>
    <w:p>
      <w:pPr>
        <w:pStyle w:val="Compact"/>
        <w:numPr>
          <w:ilvl w:val="0"/>
          <w:numId w:val="1009"/>
        </w:numPr>
      </w:pPr>
      <w:r>
        <w:t xml:space="preserve">Operador responsable</w:t>
      </w:r>
    </w:p>
    <w:p>
      <w:pPr>
        <w:pStyle w:val="Compact"/>
        <w:numPr>
          <w:ilvl w:val="0"/>
          <w:numId w:val="1010"/>
        </w:numPr>
      </w:pPr>
      <w:r>
        <w:t xml:space="preserve">Criterio de aceptación: diferencia ≤ 2% del valor nominal</w:t>
      </w:r>
    </w:p>
    <w:p>
      <w:pPr>
        <w:pStyle w:val="Compact"/>
        <w:numPr>
          <w:ilvl w:val="0"/>
          <w:numId w:val="1011"/>
        </w:numPr>
      </w:pPr>
      <w:r>
        <w:t xml:space="preserve">Verificación de trazabilidad metrológica completa</w:t>
      </w:r>
    </w:p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2026-06-19T12:35:45Z</dcterms:created>
  <dcterms:modified xsi:type="dcterms:W3CDTF">2026-06-19T12:35:45Z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