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09-registro-de-homogeneidad"/>
    <w:p>
      <w:pPr>
        <w:pStyle w:val="Heading1"/>
      </w:pPr>
      <w:r>
        <w:t xml:space="preserve">F-PSEA-09 — Registro de Homogeneidad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F-PSEA-09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las pruebas de homogeneidad del ítem PT conforme a ISO 13528 Anexo B, adaptado a atmósferas generadas in situ. Incluye: ≥10 atmósferas independientes al mismo setpoint, réplicas de medición (≥2 por atmósfera), cálculo de s_hom, verificación del criterio s_hom ≤ 0,3 × σ_pt, decisión de conformidad, fecha, operador y aprobación. Formato de registro para I-PSEA-10.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Anexo B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del estudio de homogeneidad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b8791165cafaa23ed4f2cd9f61e866dc15f3907"/>
    <w:p>
      <w:pPr>
        <w:pStyle w:val="Heading2"/>
      </w:pPr>
      <w:r>
        <w:t xml:space="preserve">Planificación de Contenido — Ronda Compleja Fase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atmósferas</w:t>
            </w:r>
          </w:p>
        </w:tc>
        <w:tc>
          <w:tcPr/>
          <w:p>
            <w:pPr>
              <w:pStyle w:val="Compact"/>
            </w:pPr>
            <w:r>
              <w:t xml:space="preserve">≥10 generadas al mismo setpoint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Réplicas por atmósfera</w:t>
            </w:r>
          </w:p>
        </w:tc>
        <w:tc>
          <w:tcPr/>
          <w:p>
            <w:pPr>
              <w:pStyle w:val="Compact"/>
            </w:pPr>
            <w:r>
              <w:t xml:space="preserve">≥2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 de aceptación</w:t>
            </w:r>
          </w:p>
        </w:tc>
        <w:tc>
          <w:tcPr/>
          <w:p>
            <w:pPr>
              <w:pStyle w:val="Compact"/>
            </w:pPr>
            <w:r>
              <w:t xml:space="preserve">s_hom ≤ 0,3 × σ_pt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Mismos criterios que Ronda Simple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Setpoint de generación (concentración objetivo) — CO</w:t>
      </w:r>
    </w:p>
    <w:p>
      <w:pPr>
        <w:pStyle w:val="Compact"/>
        <w:numPr>
          <w:ilvl w:val="0"/>
          <w:numId w:val="1002"/>
        </w:numPr>
      </w:pPr>
      <w:r>
        <w:t xml:space="preserve">Setpoint de generación (concentración objetivo) — SO₂</w:t>
      </w:r>
    </w:p>
    <w:p>
      <w:pPr>
        <w:pStyle w:val="Compact"/>
        <w:numPr>
          <w:ilvl w:val="0"/>
          <w:numId w:val="1003"/>
        </w:numPr>
      </w:pPr>
      <w:r>
        <w:t xml:space="preserve">Tabla de dato crudo: atmósfera #, réplica 1, réplica 2 (mínimo) — CO</w:t>
      </w:r>
    </w:p>
    <w:p>
      <w:pPr>
        <w:pStyle w:val="Compact"/>
        <w:numPr>
          <w:ilvl w:val="0"/>
          <w:numId w:val="1004"/>
        </w:numPr>
      </w:pPr>
      <w:r>
        <w:t xml:space="preserve">Tabla de dato crudo: atmósfera #, réplica 1, réplica 2 (mínimo) — SO₂</w:t>
      </w:r>
    </w:p>
    <w:p>
      <w:pPr>
        <w:pStyle w:val="Compact"/>
        <w:numPr>
          <w:ilvl w:val="0"/>
          <w:numId w:val="1005"/>
        </w:numPr>
      </w:pPr>
      <w:r>
        <w:t xml:space="preserve">Cálculo de s_hom para CO</w:t>
      </w:r>
    </w:p>
    <w:p>
      <w:pPr>
        <w:pStyle w:val="Compact"/>
        <w:numPr>
          <w:ilvl w:val="0"/>
          <w:numId w:val="1006"/>
        </w:numPr>
      </w:pPr>
      <w:r>
        <w:t xml:space="preserve">Cálculo de s_hom para SO₂</w:t>
      </w:r>
    </w:p>
    <w:p>
      <w:pPr>
        <w:pStyle w:val="Compact"/>
        <w:numPr>
          <w:ilvl w:val="0"/>
          <w:numId w:val="1007"/>
        </w:numPr>
      </w:pPr>
      <w:r>
        <w:t xml:space="preserve">Verificación: s_hom(CO) ≤ 0,3 × σ_pt(CO)</w:t>
      </w:r>
    </w:p>
    <w:p>
      <w:pPr>
        <w:pStyle w:val="Compact"/>
        <w:numPr>
          <w:ilvl w:val="0"/>
          <w:numId w:val="1008"/>
        </w:numPr>
      </w:pPr>
      <w:r>
        <w:t xml:space="preserve">Verificación: s_hom(SO₂) ≤ 0,3 × σ_pt(SO₂)</w:t>
      </w:r>
    </w:p>
    <w:p>
      <w:pPr>
        <w:pStyle w:val="Compact"/>
        <w:numPr>
          <w:ilvl w:val="0"/>
          <w:numId w:val="1009"/>
        </w:numPr>
      </w:pPr>
      <w:r>
        <w:t xml:space="preserve">Decisión de conformidad (CONFORME / NO CONFORME)</w:t>
      </w:r>
    </w:p>
    <w:p>
      <w:pPr>
        <w:pStyle w:val="Compact"/>
        <w:numPr>
          <w:ilvl w:val="0"/>
          <w:numId w:val="1010"/>
        </w:numPr>
      </w:pPr>
      <w:r>
        <w:t xml:space="preserve">Fecha, operador y firma de aprobación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