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10-registro-de-estabilidad"/>
    <w:p>
      <w:pPr>
        <w:pStyle w:val="Heading1"/>
      </w:pPr>
      <w:r>
        <w:t xml:space="preserve">F-PSEA-10 — Registro de Estabilidad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F-PSEA-10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NO EJECUTADA en EA-PP2026-R2 — P2 (UPB) diferido a siguiente ronda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de las pruebas de estabilidad del ítem PT conforme a ISO 13528 Anexo B, adaptado al esquema in situ. Cubre tres modalidades: (1) estabilidad intrajornada del sistema generador, (2) estabilidad durante la ventana de medición, (3) estabilidad por transporte (solo si aplica envío de cilindros). Registra: mediciones inicio/fin, cálculo de |x̄_inicio − x̄_fin|, verificación del criterio ≤ 0,3 × σ_pt, decisión, fecha y operador. Formato de I-PSEA-10.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Anexo B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Evidencia del estudio de estabilidad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b8791165cafaa23ed4f2cd9f61e866dc15f3907"/>
    <w:p>
      <w:pPr>
        <w:pStyle w:val="Heading2"/>
      </w:pPr>
      <w:r>
        <w:t xml:space="preserve">Planificación de Contenido — Ronda Compleja Fase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estabilidad</w:t>
            </w:r>
          </w:p>
        </w:tc>
        <w:tc>
          <w:tcPr/>
          <w:p>
            <w:pPr>
              <w:pStyle w:val="Compact"/>
            </w:pPr>
            <w:r>
              <w:t xml:space="preserve">Intrajornada (1 jornada de medición, cierre)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Criterio de aceptación</w:t>
            </w:r>
          </w:p>
        </w:tc>
        <w:tc>
          <w:tcPr/>
          <w:p>
            <w:pPr>
              <w:pStyle w:val="Compact"/>
            </w:pPr>
            <w:r>
              <w:t xml:space="preserve">|x̄_inicio − x̄_fin| ≤ 0,3 × σ_pt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Modalidad transporte</w:t>
            </w:r>
          </w:p>
        </w:tc>
        <w:tc>
          <w:tcPr/>
          <w:p>
            <w:pPr>
              <w:pStyle w:val="Compact"/>
            </w:pPr>
            <w:r>
              <w:t xml:space="preserve">No aplica (in situ)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</w:t>
            </w:r>
          </w:p>
        </w:tc>
        <w:tc>
          <w:tcPr/>
          <w:p>
            <w:pPr>
              <w:pStyle w:val="Compact"/>
            </w:pPr>
            <w:r>
              <w:t xml:space="preserve">Post-devolución de equipos O₃/NO/NO₂ — verificar estado de sistemas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Mediciones al inicio de la jornada — CO (media de n réplicas)</w:t>
      </w:r>
    </w:p>
    <w:p>
      <w:pPr>
        <w:pStyle w:val="Compact"/>
        <w:numPr>
          <w:ilvl w:val="0"/>
          <w:numId w:val="1002"/>
        </w:numPr>
      </w:pPr>
      <w:r>
        <w:t xml:space="preserve">Mediciones al inicio de la jornada — SO₂ (media de n réplicas)</w:t>
      </w:r>
    </w:p>
    <w:p>
      <w:pPr>
        <w:pStyle w:val="Compact"/>
        <w:numPr>
          <w:ilvl w:val="0"/>
          <w:numId w:val="1003"/>
        </w:numPr>
      </w:pPr>
      <w:r>
        <w:t xml:space="preserve">Mediciones al final de la jornada — CO (media de n réplicas)</w:t>
      </w:r>
    </w:p>
    <w:p>
      <w:pPr>
        <w:pStyle w:val="Compact"/>
        <w:numPr>
          <w:ilvl w:val="0"/>
          <w:numId w:val="1004"/>
        </w:numPr>
      </w:pPr>
      <w:r>
        <w:t xml:space="preserve">Mediciones al final de la jornada — SO₂ (media de n réplicas)</w:t>
      </w:r>
    </w:p>
    <w:p>
      <w:pPr>
        <w:pStyle w:val="Compact"/>
        <w:numPr>
          <w:ilvl w:val="0"/>
          <w:numId w:val="1005"/>
        </w:numPr>
      </w:pPr>
      <w:r>
        <w:t xml:space="preserve">Cálculo de |x̄_inicio − x̄_fin| para CO</w:t>
      </w:r>
    </w:p>
    <w:p>
      <w:pPr>
        <w:pStyle w:val="Compact"/>
        <w:numPr>
          <w:ilvl w:val="0"/>
          <w:numId w:val="1006"/>
        </w:numPr>
      </w:pPr>
      <w:r>
        <w:t xml:space="preserve">Cálculo de |x̄_inicio − x̄_fin| para SO₂</w:t>
      </w:r>
    </w:p>
    <w:p>
      <w:pPr>
        <w:pStyle w:val="Compact"/>
        <w:numPr>
          <w:ilvl w:val="0"/>
          <w:numId w:val="1007"/>
        </w:numPr>
      </w:pPr>
      <w:r>
        <w:t xml:space="preserve">Verificación: |Δx̄|(CO) ≤ 0,3 × σ_pt(CO)</w:t>
      </w:r>
    </w:p>
    <w:p>
      <w:pPr>
        <w:pStyle w:val="Compact"/>
        <w:numPr>
          <w:ilvl w:val="0"/>
          <w:numId w:val="1008"/>
        </w:numPr>
      </w:pPr>
      <w:r>
        <w:t xml:space="preserve">Verificación: |Δx̄|(SO₂) ≤ 0,3 × σ_pt(SO₂)</w:t>
      </w:r>
    </w:p>
    <w:p>
      <w:pPr>
        <w:pStyle w:val="Compact"/>
        <w:numPr>
          <w:ilvl w:val="0"/>
          <w:numId w:val="1009"/>
        </w:numPr>
      </w:pPr>
      <w:r>
        <w:t xml:space="preserve">Verificación post-cambio de configuración (de O₃/NO/NO₂ a CO/SO₂)</w:t>
      </w:r>
    </w:p>
    <w:p>
      <w:pPr>
        <w:pStyle w:val="Compact"/>
        <w:numPr>
          <w:ilvl w:val="0"/>
          <w:numId w:val="1010"/>
        </w:numPr>
      </w:pPr>
      <w:r>
        <w:t xml:space="preserve">Decisión de conformidad (CONFORME / NO CONFORME)</w:t>
      </w:r>
    </w:p>
    <w:p>
      <w:pPr>
        <w:pStyle w:val="Compact"/>
        <w:numPr>
          <w:ilvl w:val="0"/>
          <w:numId w:val="1011"/>
        </w:numPr>
      </w:pPr>
      <w:r>
        <w:t xml:space="preserve">Fecha, operador y firma de aprobación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2026-06-19T12:35:46Z</dcterms:created>
  <dcterms:modified xsi:type="dcterms:W3CDTF">2026-06-19T12:35:46Z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