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11-registro-de-envío-y-recepción"/>
    <w:p>
      <w:pPr>
        <w:pStyle w:val="Heading1"/>
      </w:pPr>
      <w:r>
        <w:t xml:space="preserve">F-PSEA-11 — Registro de Envío y Recepción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F-PSEA-11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para documentar el envío y recepción de ítems PT (si aplica envío físico) o la llegada/registro del participante al sitio (para esquema in situ). Incluye: identificación del ítem/participante, fecha y hora de despacho/llegada, verificación de integridad, acuse de recibo, condiciones de transporte/almacenamiento, y observaciones. Soporte documental de P-PSEA-10.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7.3.3, 7.3.4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Trazabilidad del despacho y recepción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reconfiguración de equipos del participante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P2 = UPB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a reconfigurar</w:t>
            </w:r>
          </w:p>
        </w:tc>
        <w:tc>
          <w:tcPr/>
          <w:p>
            <w:pPr>
              <w:pStyle w:val="Compact"/>
            </w:pPr>
            <w:r>
              <w:t xml:space="preserve">2 analizadores (1 CO, 1 SO₂) — post-devolución equipos O₃/NO/NO₂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Transporte</w:t>
            </w:r>
          </w:p>
        </w:tc>
        <w:tc>
          <w:tcPr/>
          <w:p>
            <w:pPr>
              <w:pStyle w:val="Compact"/>
            </w:pPr>
            <w:r>
              <w:t xml:space="preserve">No aplica transporte de ítems PT (in situ)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</w:p>
        </w:tc>
        <w:tc>
          <w:tcPr/>
          <w:p>
            <w:pPr>
              <w:pStyle w:val="Compact"/>
            </w:pPr>
            <w:r>
              <w:t xml:space="preserve">P2 ya se encuentra en sitio tras Fase 1 — registrar cambio de configuración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Fecha y hora de reconfiguración de equipos P2</w:t>
      </w:r>
    </w:p>
    <w:p>
      <w:pPr>
        <w:pStyle w:val="Compact"/>
        <w:numPr>
          <w:ilvl w:val="0"/>
          <w:numId w:val="1002"/>
        </w:numPr>
      </w:pPr>
      <w:r>
        <w:t xml:space="preserve">Identificación de los equipos del participante reconfigurados</w:t>
      </w:r>
    </w:p>
    <w:p>
      <w:pPr>
        <w:pStyle w:val="Compact"/>
        <w:numPr>
          <w:ilvl w:val="1"/>
          <w:numId w:val="1003"/>
        </w:numPr>
      </w:pPr>
      <w:r>
        <w:t xml:space="preserve">Equipo 1: analizador CO (marca, modelo, serie)</w:t>
      </w:r>
    </w:p>
    <w:p>
      <w:pPr>
        <w:pStyle w:val="Compact"/>
        <w:numPr>
          <w:ilvl w:val="1"/>
          <w:numId w:val="1004"/>
        </w:numPr>
      </w:pPr>
      <w:r>
        <w:t xml:space="preserve">Equipo 2: analizador SO₂ (marca, modelo, serie)</w:t>
      </w:r>
    </w:p>
    <w:p>
      <w:pPr>
        <w:pStyle w:val="Compact"/>
        <w:numPr>
          <w:ilvl w:val="0"/>
          <w:numId w:val="1005"/>
        </w:numPr>
      </w:pPr>
      <w:r>
        <w:t xml:space="preserve">Verificación de estado post-devolución de equipos O₃/NO/NO₂</w:t>
      </w:r>
    </w:p>
    <w:p>
      <w:pPr>
        <w:pStyle w:val="Compact"/>
        <w:numPr>
          <w:ilvl w:val="0"/>
          <w:numId w:val="1006"/>
        </w:numPr>
      </w:pPr>
      <w:r>
        <w:t xml:space="preserve">Registro de cambio de configuración (de O₃/NO/NO₂ a CO/SO₂)</w:t>
      </w:r>
    </w:p>
    <w:p>
      <w:pPr>
        <w:pStyle w:val="Compact"/>
        <w:numPr>
          <w:ilvl w:val="0"/>
          <w:numId w:val="1007"/>
        </w:numPr>
      </w:pPr>
      <w:r>
        <w:t xml:space="preserve">Verificación de calibración vigente para CO y SO₂</w:t>
      </w:r>
    </w:p>
    <w:p>
      <w:pPr>
        <w:pStyle w:val="Compact"/>
        <w:numPr>
          <w:ilvl w:val="0"/>
          <w:numId w:val="1008"/>
        </w:numPr>
      </w:pPr>
      <w:r>
        <w:t xml:space="preserve">Acuse de recibo / confirmación de configuración</w:t>
      </w:r>
    </w:p>
    <w:p>
      <w:pPr>
        <w:pStyle w:val="Compact"/>
        <w:numPr>
          <w:ilvl w:val="0"/>
          <w:numId w:val="1009"/>
        </w:numPr>
      </w:pPr>
      <w:r>
        <w:t xml:space="preserve">Observaciones sobre transición Fase 1 → Fase 2</w:t>
      </w:r>
    </w:p>
    <w:p>
      <w:pPr>
        <w:pStyle w:val="Compact"/>
        <w:numPr>
          <w:ilvl w:val="0"/>
          <w:numId w:val="1010"/>
        </w:numPr>
      </w:pPr>
      <w:r>
        <w:t xml:space="preserve">Nombre y firma del responsable del PEA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