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533a89e6825b7c73246676267aa84ecc7dd7ca2"/>
    <w:p>
      <w:pPr>
        <w:pStyle w:val="Heading1"/>
      </w:pPr>
      <w:r>
        <w:t xml:space="preserve">F-PSEA-12 — Formato de Reporte del Participante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F-PSEA-12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4 — Formato / Registro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NO EJECUTADA en EA-PP2026-R2 — P2 (UPB) diferido a siguiente ronda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🔴 Crítica</w:t>
      </w:r>
    </w:p>
    <w:p>
      <w:r>
        <w:pict>
          <v:rect style="width:0;height:1.5pt" o:hralign="center" o:hrstd="t" o:hr="t"/>
        </w:pict>
      </w:r>
    </w:p>
    <w:bookmarkStart w:id="9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Formato estandarizado que cada participante debe utilizar para reportar sus resultados de medición al PEA. Incluye: datos de identificación del participante (código anónimo), ronda, analito, nivel, resultado de medición, incertidumbre expandida (si aplica), método de medición utilizado, equipo/modelo del analizador, condiciones de medición, y observaciones. Diseñado para minimizar errores de transcripción y facilitar la carga al aplicativo R/Shiny.</w:t>
      </w:r>
    </w:p>
    <w:p>
      <w:r>
        <w:pict>
          <v:rect style="width:0;height:1.5pt" o:hralign="center" o:hrstd="t" o:hr="t"/>
        </w:pict>
      </w:r>
    </w:p>
    <w:bookmarkEnd w:id="9"/>
    <w:bookmarkStart w:id="10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7.3.5, 7.4.1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5.3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Formato para que el participante reporte sus resultados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p>
      <w:r>
        <w:pict>
          <v:rect style="width:0;height:1.5pt" o:hralign="center" o:hrstd="t" o:hr="t"/>
        </w:pict>
      </w:r>
    </w:p>
    <w:bookmarkEnd w:id="10"/>
    <w:bookmarkStart w:id="12" w:name="Xb8791165cafaa23ed4f2cd9f61e866dc15f3907"/>
    <w:p>
      <w:pPr>
        <w:pStyle w:val="Heading2"/>
      </w:pPr>
      <w:r>
        <w:t xml:space="preserve">Planificación de Contenido — Ronda Compleja Fase 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 esperado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Participante</w:t>
            </w:r>
          </w:p>
        </w:tc>
        <w:tc>
          <w:tcPr/>
          <w:p>
            <w:pPr>
              <w:pStyle w:val="Compact"/>
            </w:pPr>
            <w:r>
              <w:t xml:space="preserve">P2 = UPB (código anónimo)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Analitos a reportar</w:t>
            </w:r>
          </w:p>
        </w:tc>
        <w:tc>
          <w:tcPr/>
          <w:p>
            <w:pPr>
              <w:pStyle w:val="Compact"/>
            </w:pPr>
            <w:r>
              <w:t xml:space="preserve">CO, SO₂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Datos por analito</w:t>
            </w:r>
          </w:p>
        </w:tc>
        <w:tc>
          <w:tcPr/>
          <w:p>
            <w:pPr>
              <w:pStyle w:val="Compact"/>
            </w:pPr>
            <w:r>
              <w:t xml:space="preserve">Concentración, incertidumbre expandida, cifras significativas</w:t>
            </w:r>
          </w:p>
        </w:tc>
      </w:tr>
    </w:tbl>
    <w:bookmarkStart w:id="11" w:name="campos-a-completar"/>
    <w:p>
      <w:pPr>
        <w:pStyle w:val="Heading3"/>
      </w:pPr>
      <w:r>
        <w:t xml:space="preserve">Campos a completar</w:t>
      </w:r>
    </w:p>
    <w:p>
      <w:pPr>
        <w:pStyle w:val="Compact"/>
        <w:numPr>
          <w:ilvl w:val="0"/>
          <w:numId w:val="1001"/>
        </w:numPr>
      </w:pPr>
      <w:r>
        <w:t xml:space="preserve">Código anónimo del participante P2</w:t>
      </w:r>
    </w:p>
    <w:p>
      <w:pPr>
        <w:pStyle w:val="Compact"/>
        <w:numPr>
          <w:ilvl w:val="0"/>
          <w:numId w:val="1002"/>
        </w:numPr>
      </w:pPr>
      <w:r>
        <w:t xml:space="preserve">Identificación de la ronda (Ronda Compleja Fase 2)</w:t>
      </w:r>
    </w:p>
    <w:p>
      <w:pPr>
        <w:pStyle w:val="Compact"/>
        <w:numPr>
          <w:ilvl w:val="0"/>
          <w:numId w:val="1003"/>
        </w:numPr>
      </w:pPr>
      <w:r>
        <w:t xml:space="preserve">Resultado CO: concentración (μmol/mol o mg/m³)</w:t>
      </w:r>
    </w:p>
    <w:p>
      <w:pPr>
        <w:pStyle w:val="Compact"/>
        <w:numPr>
          <w:ilvl w:val="0"/>
          <w:numId w:val="1004"/>
        </w:numPr>
      </w:pPr>
      <w:r>
        <w:t xml:space="preserve">Resultado CO: incertidumbre expandida (U, k=2)</w:t>
      </w:r>
    </w:p>
    <w:p>
      <w:pPr>
        <w:pStyle w:val="Compact"/>
        <w:numPr>
          <w:ilvl w:val="0"/>
          <w:numId w:val="1005"/>
        </w:numPr>
      </w:pPr>
      <w:r>
        <w:t xml:space="preserve">Resultado CO: cifras significativas reportadas</w:t>
      </w:r>
    </w:p>
    <w:p>
      <w:pPr>
        <w:pStyle w:val="Compact"/>
        <w:numPr>
          <w:ilvl w:val="0"/>
          <w:numId w:val="1006"/>
        </w:numPr>
      </w:pPr>
      <w:r>
        <w:t xml:space="preserve">Resultado CO: método de medición utilizado</w:t>
      </w:r>
    </w:p>
    <w:p>
      <w:pPr>
        <w:pStyle w:val="Compact"/>
        <w:numPr>
          <w:ilvl w:val="0"/>
          <w:numId w:val="1007"/>
        </w:numPr>
      </w:pPr>
      <w:r>
        <w:t xml:space="preserve">Resultado CO: equipo/analizador (marca, modelo, serie)</w:t>
      </w:r>
    </w:p>
    <w:p>
      <w:pPr>
        <w:pStyle w:val="Compact"/>
        <w:numPr>
          <w:ilvl w:val="0"/>
          <w:numId w:val="1008"/>
        </w:numPr>
      </w:pPr>
      <w:r>
        <w:t xml:space="preserve">Resultado SO₂: concentración (μmol/mol o mg/m³)</w:t>
      </w:r>
    </w:p>
    <w:p>
      <w:pPr>
        <w:pStyle w:val="Compact"/>
        <w:numPr>
          <w:ilvl w:val="0"/>
          <w:numId w:val="1009"/>
        </w:numPr>
      </w:pPr>
      <w:r>
        <w:t xml:space="preserve">Resultado SO₂: incertidumbre expandida (U, k=2)</w:t>
      </w:r>
    </w:p>
    <w:p>
      <w:pPr>
        <w:pStyle w:val="Compact"/>
        <w:numPr>
          <w:ilvl w:val="0"/>
          <w:numId w:val="1010"/>
        </w:numPr>
      </w:pPr>
      <w:r>
        <w:t xml:space="preserve">Resultado SO₂: cifras significativas reportadas</w:t>
      </w:r>
    </w:p>
    <w:p>
      <w:pPr>
        <w:pStyle w:val="Compact"/>
        <w:numPr>
          <w:ilvl w:val="0"/>
          <w:numId w:val="1011"/>
        </w:numPr>
      </w:pPr>
      <w:r>
        <w:t xml:space="preserve">Resultado SO₂: método de medición utilizado</w:t>
      </w:r>
    </w:p>
    <w:p>
      <w:pPr>
        <w:pStyle w:val="Compact"/>
        <w:numPr>
          <w:ilvl w:val="0"/>
          <w:numId w:val="1012"/>
        </w:numPr>
      </w:pPr>
      <w:r>
        <w:t xml:space="preserve">Resultado SO₂: equipo/analizador (marca, modelo, serie)</w:t>
      </w:r>
    </w:p>
    <w:p>
      <w:pPr>
        <w:pStyle w:val="Compact"/>
        <w:numPr>
          <w:ilvl w:val="0"/>
          <w:numId w:val="1013"/>
        </w:numPr>
      </w:pPr>
      <w:r>
        <w:t xml:space="preserve">Condiciones de medición (T, P, HR)</w:t>
      </w:r>
    </w:p>
    <w:p>
      <w:pPr>
        <w:pStyle w:val="Compact"/>
        <w:numPr>
          <w:ilvl w:val="0"/>
          <w:numId w:val="1014"/>
        </w:numPr>
      </w:pPr>
      <w:r>
        <w:t xml:space="preserve">Fecha y hora de las mediciones</w:t>
      </w:r>
    </w:p>
    <w:p>
      <w:pPr>
        <w:pStyle w:val="Compact"/>
        <w:numPr>
          <w:ilvl w:val="0"/>
          <w:numId w:val="1015"/>
        </w:numPr>
      </w:pPr>
      <w:r>
        <w:t xml:space="preserve">Observaciones del participante</w:t>
      </w:r>
    </w:p>
    <w:p>
      <w:pPr>
        <w:pStyle w:val="Compact"/>
        <w:numPr>
          <w:ilvl w:val="0"/>
          <w:numId w:val="1016"/>
        </w:numPr>
      </w:pPr>
      <w:r>
        <w:t xml:space="preserve">Firma del participante</w:t>
      </w:r>
    </w:p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2026-06-19T12:35:46Z</dcterms:created>
  <dcterms:modified xsi:type="dcterms:W3CDTF">2026-06-19T12:35:46Z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