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f-psea-13-hoja-de-revisión-de-datos"/>
    <w:p>
      <w:pPr>
        <w:pStyle w:val="Heading1"/>
      </w:pPr>
      <w:r>
        <w:t xml:space="preserve">F-PSEA-13 — Hoja de Revisión de Datos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F-PSEA-13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NO EJECUTADA en EA-PP2026-R2 — P2 (UPB) diferido a siguiente ronda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Formato para la revisión sistemática de los datos reportados por los participantes antes del análisis estadístico. Incluye checklist de: verificación de unidades, formato numérico, cifras significativas, consistencia interna, identificación de posibles errores de transcripción, datos faltantes, y decisiones sobre datos sospechosos (con justificación documentada). Soporte de I-PSEA-06.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Evidencia de la revisión pre-análisis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10"/>
    <w:bookmarkStart w:id="12" w:name="Xb8791165cafaa23ed4f2cd9f61e866dc15f3907"/>
    <w:p>
      <w:pPr>
        <w:pStyle w:val="Heading2"/>
      </w:pPr>
      <w:r>
        <w:t xml:space="preserve">Planificación de Contenido — Ronda Compleja Fase 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P2 = UPB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Analitos</w:t>
            </w:r>
          </w:p>
        </w:tc>
        <w:tc>
          <w:tcPr/>
          <w:p>
            <w:pPr>
              <w:pStyle w:val="Compact"/>
            </w:pPr>
            <w:r>
              <w:t xml:space="preserve">CO, SO₂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Revisión esperada</w:t>
            </w:r>
          </w:p>
        </w:tc>
        <w:tc>
          <w:tcPr/>
          <w:p>
            <w:pPr>
              <w:pStyle w:val="Compact"/>
            </w:pPr>
            <w:r>
              <w:t xml:space="preserve">Unidades, formato numérico, plausibilidad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Nota comparativa</w:t>
            </w:r>
          </w:p>
        </w:tc>
        <w:tc>
          <w:tcPr/>
          <w:p>
            <w:pPr>
              <w:pStyle w:val="Compact"/>
            </w:pPr>
            <w:r>
              <w:t xml:space="preserve">Comparar formato de reporte P2 con P1 (Ronda Simple) para consistencia</w:t>
            </w:r>
          </w:p>
        </w:tc>
      </w:tr>
    </w:tbl>
    <w:bookmarkStart w:id="11" w:name="checklist-de-revisión"/>
    <w:p>
      <w:pPr>
        <w:pStyle w:val="Heading3"/>
      </w:pPr>
      <w:r>
        <w:t xml:space="preserve">Checklist de revisión</w:t>
      </w:r>
    </w:p>
    <w:p>
      <w:pPr>
        <w:pStyle w:val="Compact"/>
        <w:numPr>
          <w:ilvl w:val="0"/>
          <w:numId w:val="1001"/>
        </w:numPr>
      </w:pPr>
      <w:r>
        <w:t xml:space="preserve">Verificación de unidades (¿μmol/mol o mg/m³? ¿consistente con P1 de Ronda Simple?)</w:t>
      </w:r>
    </w:p>
    <w:p>
      <w:pPr>
        <w:pStyle w:val="Compact"/>
        <w:numPr>
          <w:ilvl w:val="0"/>
          <w:numId w:val="1002"/>
        </w:numPr>
      </w:pPr>
      <w:r>
        <w:t xml:space="preserve">Verificación de formato numérico (¿separador decimal correcto?)</w:t>
      </w:r>
    </w:p>
    <w:p>
      <w:pPr>
        <w:pStyle w:val="Compact"/>
        <w:numPr>
          <w:ilvl w:val="0"/>
          <w:numId w:val="1003"/>
        </w:numPr>
      </w:pPr>
      <w:r>
        <w:t xml:space="preserve">Verificación de cifras significativas (¿coherente con incertidumbre?)</w:t>
      </w:r>
    </w:p>
    <w:p>
      <w:pPr>
        <w:pStyle w:val="Compact"/>
        <w:numPr>
          <w:ilvl w:val="0"/>
          <w:numId w:val="1004"/>
        </w:numPr>
      </w:pPr>
      <w:r>
        <w:t xml:space="preserve">Plausibilidad del resultado CO (¿dentro de rango esperable?)</w:t>
      </w:r>
    </w:p>
    <w:p>
      <w:pPr>
        <w:pStyle w:val="Compact"/>
        <w:numPr>
          <w:ilvl w:val="0"/>
          <w:numId w:val="1005"/>
        </w:numPr>
      </w:pPr>
      <w:r>
        <w:t xml:space="preserve">Plausibilidad del resultado SO₂ (¿dentro de rango esperable?)</w:t>
      </w:r>
    </w:p>
    <w:p>
      <w:pPr>
        <w:pStyle w:val="Compact"/>
        <w:numPr>
          <w:ilvl w:val="0"/>
          <w:numId w:val="1006"/>
        </w:numPr>
      </w:pPr>
      <w:r>
        <w:t xml:space="preserve">Consistencia interna (¿incertidumbre coherente con el método?)</w:t>
      </w:r>
    </w:p>
    <w:p>
      <w:pPr>
        <w:pStyle w:val="Compact"/>
        <w:numPr>
          <w:ilvl w:val="0"/>
          <w:numId w:val="1007"/>
        </w:numPr>
      </w:pPr>
      <w:r>
        <w:t xml:space="preserve">Comparabilidad con formato de P1 (Ronda Simple): unidades, cifras, método</w:t>
      </w:r>
    </w:p>
    <w:p>
      <w:pPr>
        <w:pStyle w:val="Compact"/>
        <w:numPr>
          <w:ilvl w:val="0"/>
          <w:numId w:val="1008"/>
        </w:numPr>
      </w:pPr>
      <w:r>
        <w:t xml:space="preserve">Errores de transcripción detectados (ninguno / corregidos)</w:t>
      </w:r>
    </w:p>
    <w:p>
      <w:pPr>
        <w:pStyle w:val="Compact"/>
        <w:numPr>
          <w:ilvl w:val="0"/>
          <w:numId w:val="1009"/>
        </w:numPr>
      </w:pPr>
      <w:r>
        <w:t xml:space="preserve">Datos faltantes (ninguno / documentar)</w:t>
      </w:r>
    </w:p>
    <w:p>
      <w:pPr>
        <w:pStyle w:val="Compact"/>
        <w:numPr>
          <w:ilvl w:val="0"/>
          <w:numId w:val="1010"/>
        </w:numPr>
      </w:pPr>
      <w:r>
        <w:t xml:space="preserve">Datos sospechosos identificados (ninguno / justificar decisión)</w:t>
      </w:r>
    </w:p>
    <w:p>
      <w:pPr>
        <w:pStyle w:val="Compact"/>
        <w:numPr>
          <w:ilvl w:val="0"/>
          <w:numId w:val="1011"/>
        </w:numPr>
      </w:pPr>
      <w:r>
        <w:t xml:space="preserve">Completitud del formato (todos los campos diligenciados)</w:t>
      </w:r>
    </w:p>
    <w:p>
      <w:pPr>
        <w:pStyle w:val="Compact"/>
        <w:numPr>
          <w:ilvl w:val="0"/>
          <w:numId w:val="1012"/>
        </w:numPr>
      </w:pPr>
      <w:r>
        <w:t xml:space="preserve">Firma del revisor y fecha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2026-06-19T12:35:46Z</dcterms:created>
  <dcterms:modified xsi:type="dcterms:W3CDTF">2026-06-19T12:35:46Z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