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i w:val="1"/>
          <w:iCs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GENERAL DEL PROCEDIMIENTO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OBJETIVO: </w:t>
            </w:r>
            <w:r w:rsidDel="00000000" w:rsidR="00000000" w:rsidRPr="00000000">
              <w:rPr>
                <w:rFonts w:ascii="Arial" w:cs="Arial" w:eastAsia="Arial" w:hAnsi="Arial"/>
                <w:sz w:val="22"/>
                <w:szCs w:val="22"/>
                <w:rtl w:val="0"/>
              </w:rPr>
              <w:t xml:space="preserve">Establecer, documentar y mantener los procedimientos necesarios para prevenir, detectar, investigar y responder de manera decisiva a los casos de colusión entre participantes o falsificación de resultados dentro de los esquemas de Ensayos de Aptitud (EA), asegurando el estricto cumplimiento de los requisitos de la norma ISO/IEC 17043:2023.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El protocolo abarca todo el proceso necesario para realizar un ensayo de aptitud (EA) por comparación interlaboratorio para medir gases contaminantes criterio.</w:t>
            </w:r>
          </w:p>
        </w:tc>
      </w:tr>
      <w:tr>
        <w:trPr>
          <w:cantSplit w:val="0"/>
          <w:tblHeader w:val="0"/>
        </w:trPr>
        <w:tc>
          <w:tcPr>
            <w:vAlign w:val="top"/>
          </w:tcPr>
          <w:p w:rsidR="00000000" w:rsidDel="00000000" w:rsidP="00000000" w:rsidRDefault="00000000" w:rsidRPr="00000000" w14:paraId="00000005">
            <w:pPr>
              <w:spacing w:after="120" w:before="120" w:lineRule="auto"/>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DEFINICIONES:</w:t>
            </w:r>
          </w:p>
          <w:p w:rsidR="00000000" w:rsidDel="00000000" w:rsidP="00000000" w:rsidRDefault="00000000" w:rsidRPr="00000000" w14:paraId="00000006">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Colusión: </w:t>
            </w:r>
            <w:r w:rsidDel="00000000" w:rsidR="00000000" w:rsidRPr="00000000">
              <w:rPr>
                <w:rFonts w:ascii="Arial" w:cs="Arial" w:eastAsia="Arial" w:hAnsi="Arial"/>
                <w:sz w:val="22"/>
                <w:szCs w:val="22"/>
                <w:rtl w:val="0"/>
              </w:rPr>
              <w:t xml:space="preserve">Una forma de engaño en la que dos o más individuos de dos o más laboratorios participantes trabajan juntos de manera fraudulenta para presentar resultados para su beneficio mutuo en la evaluación del desempeño.</w:t>
            </w:r>
          </w:p>
          <w:p w:rsidR="00000000" w:rsidDel="00000000" w:rsidP="00000000" w:rsidRDefault="00000000" w:rsidRPr="00000000" w14:paraId="00000007">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Falsificación de Resultados: </w:t>
            </w:r>
            <w:r w:rsidDel="00000000" w:rsidR="00000000" w:rsidRPr="00000000">
              <w:rPr>
                <w:rFonts w:ascii="Arial" w:cs="Arial" w:eastAsia="Arial" w:hAnsi="Arial"/>
                <w:sz w:val="22"/>
                <w:szCs w:val="22"/>
                <w:rtl w:val="0"/>
              </w:rPr>
              <w:t xml:space="preserve">La presentación de resultados que se declaran falsamente o se tergiversan como originarios del laboratorio participante, como subcontratar los ensayos y presentar esos resultados como propios.</w:t>
            </w:r>
          </w:p>
          <w:p w:rsidR="00000000" w:rsidDel="00000000" w:rsidP="00000000" w:rsidRDefault="00000000" w:rsidRPr="00000000" w14:paraId="00000008">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Principio Fundamental: </w:t>
            </w:r>
            <w:r w:rsidDel="00000000" w:rsidR="00000000" w:rsidRPr="00000000">
              <w:rPr>
                <w:rFonts w:ascii="Arial" w:cs="Arial" w:eastAsia="Arial" w:hAnsi="Arial"/>
                <w:sz w:val="22"/>
                <w:szCs w:val="22"/>
                <w:rtl w:val="0"/>
              </w:rPr>
              <w:t xml:space="preserve">El proveedor de EA asume, de "buena fe", que los resultados presentados (identificados por el código de laboratorio, firma o logotipo) son genuinamente del laboratorio identificado.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DOCUMENTOS DE REFERENCIA: </w:t>
            </w:r>
          </w:p>
          <w:p w:rsidR="00000000" w:rsidDel="00000000" w:rsidP="00000000" w:rsidRDefault="00000000" w:rsidRPr="00000000" w14:paraId="0000000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17043:2023</w:t>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13528:2022</w:t>
            </w:r>
          </w:p>
          <w:p w:rsidR="00000000" w:rsidDel="00000000" w:rsidP="00000000" w:rsidRDefault="00000000" w:rsidRPr="00000000" w14:paraId="0000000C">
            <w:pPr>
              <w:spacing w:after="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P-PSEA-02 Procedimiento de Ensayo de Aptitud para NO-NO</w:t>
            </w:r>
            <w:r w:rsidDel="00000000" w:rsidR="00000000" w:rsidRPr="00000000">
              <w:rPr>
                <w:rFonts w:ascii="Arial" w:cs="Arial" w:eastAsia="Arial" w:hAnsi="Arial"/>
                <w:sz w:val="22"/>
                <w:szCs w:val="22"/>
                <w:vertAlign w:val="subscript"/>
                <w:rtl w:val="0"/>
              </w:rPr>
              <w:t xml:space="preserve">2</w:t>
            </w:r>
          </w:p>
          <w:p w:rsidR="00000000" w:rsidDel="00000000" w:rsidP="00000000" w:rsidRDefault="00000000" w:rsidRPr="00000000" w14:paraId="0000000D">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P-PSEA-03 Procedimiento de Ensayo de Aptitud para CO</w:t>
            </w:r>
            <w:r w:rsidDel="00000000" w:rsidR="00000000" w:rsidRPr="00000000">
              <w:rPr>
                <w:rtl w:val="0"/>
              </w:rPr>
            </w:r>
          </w:p>
          <w:p w:rsidR="00000000" w:rsidDel="00000000" w:rsidP="00000000" w:rsidRDefault="00000000" w:rsidRPr="00000000" w14:paraId="0000000E">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P-PSEA-04 Procedimiento de Ensayo de Aptitud para O</w:t>
            </w:r>
            <w:r w:rsidDel="00000000" w:rsidR="00000000" w:rsidRPr="00000000">
              <w:rPr>
                <w:rFonts w:ascii="Arial" w:cs="Arial" w:eastAsia="Arial" w:hAnsi="Arial"/>
                <w:sz w:val="22"/>
                <w:szCs w:val="22"/>
                <w:vertAlign w:val="subscript"/>
                <w:rtl w:val="0"/>
              </w:rPr>
              <w:t xml:space="preserve">3</w:t>
            </w:r>
          </w:p>
          <w:p w:rsidR="00000000" w:rsidDel="00000000" w:rsidP="00000000" w:rsidRDefault="00000000" w:rsidRPr="00000000" w14:paraId="0000000F">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P-PSEA-05 Procedimiento de Ensayo de Aptitud para SO</w:t>
            </w:r>
            <w:r w:rsidDel="00000000" w:rsidR="00000000" w:rsidRPr="00000000">
              <w:rPr>
                <w:rFonts w:ascii="Arial" w:cs="Arial" w:eastAsia="Arial" w:hAnsi="Arial"/>
                <w:sz w:val="22"/>
                <w:szCs w:val="22"/>
                <w:vertAlign w:val="subscript"/>
                <w:rtl w:val="0"/>
              </w:rPr>
              <w:t xml:space="preserve">2</w:t>
            </w:r>
          </w:p>
          <w:p w:rsidR="00000000" w:rsidDel="00000000" w:rsidP="00000000" w:rsidRDefault="00000000" w:rsidRPr="00000000" w14:paraId="0000001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DG-PSEA-01-Protocolo Detallado Participación en EA de Gases Contaminantes Criterio</w:t>
            </w:r>
          </w:p>
          <w:p w:rsidR="00000000" w:rsidDel="00000000" w:rsidP="00000000" w:rsidRDefault="00000000" w:rsidRPr="00000000" w14:paraId="00000011">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12">
            <w:pPr>
              <w:widowControl w:val="0"/>
              <w:spacing w:after="0" w:before="0" w:line="240" w:lineRule="auto"/>
              <w:rPr>
                <w:rFonts w:ascii="Arial" w:cs="Arial" w:eastAsia="Arial" w:hAnsi="Arial"/>
                <w:color w:val="1b1c1d"/>
                <w:sz w:val="22"/>
                <w:szCs w:val="22"/>
              </w:rPr>
            </w:pP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13">
            <w:pPr>
              <w:spacing w:after="120" w:before="12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spacing w:after="120" w:before="12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5">
            <w:pPr>
              <w:spacing w:after="120" w:before="12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spacing w:after="120" w:before="12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7">
            <w:pPr>
              <w:spacing w:after="120" w:before="12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spacing w:after="120" w:before="12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spacing w:after="120" w:before="120" w:lineRule="auto"/>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CONDICIONES GENERALES:</w:t>
            </w:r>
          </w:p>
          <w:p w:rsidR="00000000" w:rsidDel="00000000" w:rsidP="00000000" w:rsidRDefault="00000000" w:rsidRPr="00000000" w14:paraId="0000001A">
            <w:pPr>
              <w:spacing w:after="120" w:before="120"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B">
      <w:pPr>
        <w:jc w:val="both"/>
        <w:rPr>
          <w:rFonts w:ascii="Arial" w:cs="Arial" w:eastAsia="Arial" w:hAnsi="Arial"/>
          <w:sz w:val="22"/>
          <w:szCs w:val="22"/>
          <w:vertAlign w:val="baseline"/>
        </w:rPr>
      </w:pPr>
      <w:r w:rsidDel="00000000" w:rsidR="00000000" w:rsidRPr="00000000">
        <w:rPr>
          <w:rtl w:val="0"/>
        </w:rPr>
      </w:r>
    </w:p>
    <w:tbl>
      <w:tblPr>
        <w:tblStyle w:val="Table2"/>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1C">
            <w:pPr>
              <w:keepNext w:val="1"/>
              <w:keepLines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1D">
            <w:pPr>
              <w:tabs>
                <w:tab w:val="left" w:leader="none" w:pos="426"/>
              </w:tabs>
              <w:spacing w:after="120" w:before="120" w:lineRule="auto"/>
              <w:jc w:val="both"/>
              <w:rPr>
                <w:rFonts w:ascii="Arial" w:cs="Arial" w:eastAsia="Arial" w:hAnsi="Arial"/>
                <w:color w:val="1b1c1d"/>
                <w:sz w:val="22"/>
                <w:szCs w:val="22"/>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01E">
            <w:pPr>
              <w:pStyle w:val="Heading1"/>
              <w:keepNext w:val="0"/>
              <w:keepLines w:val="0"/>
              <w:widowControl w:val="0"/>
              <w:numPr>
                <w:ilvl w:val="1"/>
                <w:numId w:val="5"/>
              </w:numPr>
              <w:spacing w:after="0" w:before="0" w:line="276" w:lineRule="auto"/>
              <w:ind w:left="1440" w:hanging="360"/>
              <w:rPr>
                <w:rFonts w:ascii="Arial" w:cs="Arial" w:eastAsia="Arial" w:hAnsi="Arial"/>
                <w:color w:val="1b1c1d"/>
              </w:rPr>
            </w:pPr>
            <w:bookmarkStart w:colFirst="0" w:colLast="0" w:name="_heading=h.uzc3i4rxpob9" w:id="0"/>
            <w:bookmarkEnd w:id="0"/>
            <w:r w:rsidDel="00000000" w:rsidR="00000000" w:rsidRPr="00000000">
              <w:rPr>
                <w:rFonts w:ascii="Arial" w:cs="Arial" w:eastAsia="Arial" w:hAnsi="Arial"/>
                <w:color w:val="1b1c1d"/>
                <w:sz w:val="22"/>
                <w:szCs w:val="22"/>
                <w:rtl w:val="0"/>
              </w:rPr>
              <w:t xml:space="preserve">Estrategias de Prevención y Mitigación (Precauciones Razonables)</w:t>
              <w:tab/>
            </w:r>
            <w:r w:rsidDel="00000000" w:rsidR="00000000" w:rsidRPr="00000000">
              <w:rPr>
                <w:rtl w:val="0"/>
              </w:rPr>
            </w:r>
          </w:p>
          <w:p w:rsidR="00000000" w:rsidDel="00000000" w:rsidP="00000000" w:rsidRDefault="00000000" w:rsidRPr="00000000" w14:paraId="0000001F">
            <w:pPr>
              <w:widowControl w:val="1"/>
              <w:spacing w:after="240" w:line="240" w:lineRule="auto"/>
              <w:rPr>
                <w:rFonts w:ascii="Arial" w:cs="Arial" w:eastAsia="Arial" w:hAnsi="Arial"/>
                <w:color w:val="1b1c1d"/>
                <w:sz w:val="22"/>
                <w:szCs w:val="22"/>
              </w:rPr>
            </w:pPr>
            <w:r w:rsidDel="00000000" w:rsidR="00000000" w:rsidRPr="00000000">
              <w:rPr>
                <w:rtl w:val="0"/>
              </w:rPr>
            </w:r>
          </w:p>
          <w:tbl>
            <w:tblPr>
              <w:tblStyle w:val="Table3"/>
              <w:tblW w:w="141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9465"/>
              <w:tblGridChange w:id="0">
                <w:tblGrid>
                  <w:gridCol w:w="4680"/>
                  <w:gridCol w:w="94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widowControl w:val="1"/>
                    <w:spacing w:after="120" w:before="120"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Estrategia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widowControl w:val="1"/>
                    <w:spacing w:after="120" w:before="120"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Acción Requerida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widowControl w:val="1"/>
                    <w:spacing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Instrucciones a los Participantes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debe instruir a los participantes para que traten los ítems de EA, los cuales pueden incluir desde muestras de ensayo hasta materiales para la verificación o calibración de instrumentos (por ejemplo, gases de referencia), exactamente como si fueran muestras rutinarias de clientes, utilizando procedimientos y personal habituales.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4">
                  <w:pPr>
                    <w:widowControl w:val="1"/>
                    <w:spacing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Confidencialidad del Valor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5">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valores asignados (Valor Asignado o Valor de Referencia) no se divulgarán a los participantes hasta después de haber recibido los resultados. Las instrucciones pueden incluir un rango aproximado para facilitar el proceso analítico.</w:t>
                  </w:r>
                </w:p>
                <w:p w:rsidR="00000000" w:rsidDel="00000000" w:rsidP="00000000" w:rsidRDefault="00000000" w:rsidRPr="00000000" w14:paraId="00000026">
                  <w:pPr>
                    <w:widowControl w:val="1"/>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7">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Reporte de resultados </w:t>
                  </w:r>
                </w:p>
                <w:p w:rsidR="00000000" w:rsidDel="00000000" w:rsidP="00000000" w:rsidRDefault="00000000" w:rsidRPr="00000000" w14:paraId="00000028">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ONAC miras acreditación</w:t>
                  </w:r>
                </w:p>
                <w:p w:rsidR="00000000" w:rsidDel="00000000" w:rsidP="00000000" w:rsidRDefault="00000000" w:rsidRPr="00000000" w14:paraId="00000029">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IDEAM participantes</w:t>
                  </w:r>
                </w:p>
                <w:p w:rsidR="00000000" w:rsidDel="00000000" w:rsidP="00000000" w:rsidRDefault="00000000" w:rsidRPr="00000000" w14:paraId="0000002A">
                  <w:pPr>
                    <w:widowControl w:val="1"/>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B">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Aceptación de uso, siguiendo las políticas de confidencialidad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C">
                  <w:pPr>
                    <w:widowControl w:val="1"/>
                    <w:spacing w:line="240" w:lineRule="auto"/>
                    <w:rPr>
                      <w:rFonts w:ascii="Arial" w:cs="Arial" w:eastAsia="Arial" w:hAnsi="Arial"/>
                      <w:b w:val="1"/>
                      <w:bCs w:val="1"/>
                      <w:color w:val="1b1c1d"/>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D">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Registro de acuerdos de confidencialidad para externos y asesores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E">
                  <w:pPr>
                    <w:widowControl w:val="1"/>
                    <w:spacing w:line="240" w:lineRule="auto"/>
                    <w:rPr>
                      <w:rFonts w:ascii="Arial" w:cs="Arial" w:eastAsia="Arial" w:hAnsi="Arial"/>
                      <w:b w:val="1"/>
                      <w:bCs w:val="1"/>
                      <w:color w:val="1b1c1d"/>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F">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Acuerdo confidencialidad de la Universidad</w:t>
                  </w:r>
                </w:p>
                <w:p w:rsidR="00000000" w:rsidDel="00000000" w:rsidP="00000000" w:rsidRDefault="00000000" w:rsidRPr="00000000" w14:paraId="00000030">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f1f1f"/>
                      <w:sz w:val="22"/>
                      <w:szCs w:val="22"/>
                      <w:highlight w:val="white"/>
                      <w:rtl w:val="0"/>
                    </w:rPr>
                    <w:t xml:space="preserve">M.FT.10.004.006 FT COMPROMISO CONFIDENCIALIDAD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1">
                  <w:pPr>
                    <w:widowControl w:val="1"/>
                    <w:spacing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Declaración de Cumplimiento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2">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Exigir a los participantes que proporcionen declaraciones que confirmen que los resultados se obtuvieron utilizando procedimientos rutinarios, sin comunicación externa con otros laboratorios, y que los ensayos no fueron subcontratados.</w:t>
                  </w:r>
                </w:p>
                <w:p w:rsidR="00000000" w:rsidDel="00000000" w:rsidP="00000000" w:rsidRDefault="00000000" w:rsidRPr="00000000" w14:paraId="00000033">
                  <w:pPr>
                    <w:widowControl w:val="1"/>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34">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Acciones cuando se incumple</w:t>
                  </w:r>
                </w:p>
                <w:p w:rsidR="00000000" w:rsidDel="00000000" w:rsidP="00000000" w:rsidRDefault="00000000" w:rsidRPr="00000000" w14:paraId="00000035">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MAtriz de riesgos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6">
                  <w:pPr>
                    <w:widowControl w:val="1"/>
                    <w:spacing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Presentación Obligatoria de Datos Crudos (Control Probatorio Crítico)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7">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Exigir la presentación de información del método, datos crudos (o registros digitales equivalentes) junto con los resultados finales. Este requisito procedimental facilita la trazabilidad y permite una investigación rigurosa en caso de sospecha.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8">
                  <w:pPr>
                    <w:widowControl w:val="1"/>
                    <w:spacing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Separación Logística (Diseño)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9">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Si se sospecha de colusión entre varios participantes de la misma organización, el PEA debería dividirlos deliberadamente en grupos que reciban conjuntos de muestras únicos. Para esquemas grandes, los participantes deberían ser divididos aleatoriamente en grupos que reciban muestras únicas.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A">
                  <w:pPr>
                    <w:widowControl w:val="1"/>
                    <w:spacing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Restricciones de Tiempo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B">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tiempo de reporte de los resultados es de diez (10) días hábiles</w:t>
                  </w:r>
                </w:p>
              </w:tc>
            </w:tr>
          </w:tbl>
          <w:p w:rsidR="00000000" w:rsidDel="00000000" w:rsidP="00000000" w:rsidRDefault="00000000" w:rsidRPr="00000000" w14:paraId="0000003C">
            <w:pPr>
              <w:pStyle w:val="Heading1"/>
              <w:keepNext w:val="0"/>
              <w:keepLines w:val="0"/>
              <w:widowControl w:val="1"/>
              <w:spacing w:after="0" w:before="0" w:line="240" w:lineRule="auto"/>
              <w:ind w:left="0" w:firstLine="0"/>
              <w:rPr>
                <w:rFonts w:ascii="Arial" w:cs="Arial" w:eastAsia="Arial" w:hAnsi="Arial"/>
                <w:color w:val="1b1c1d"/>
                <w:sz w:val="22"/>
                <w:szCs w:val="22"/>
              </w:rPr>
            </w:pPr>
            <w:bookmarkStart w:colFirst="0" w:colLast="0" w:name="_heading=h.xum0y8ql5z03" w:id="1"/>
            <w:bookmarkEnd w:id="1"/>
            <w:r w:rsidDel="00000000" w:rsidR="00000000" w:rsidRPr="00000000">
              <w:rPr>
                <w:rtl w:val="0"/>
              </w:rPr>
            </w:r>
          </w:p>
          <w:p w:rsidR="00000000" w:rsidDel="00000000" w:rsidP="00000000" w:rsidRDefault="00000000" w:rsidRPr="00000000" w14:paraId="0000003D">
            <w:pPr>
              <w:pStyle w:val="Heading1"/>
              <w:keepNext w:val="0"/>
              <w:keepLines w:val="0"/>
              <w:widowControl w:val="1"/>
              <w:numPr>
                <w:ilvl w:val="1"/>
                <w:numId w:val="5"/>
              </w:numPr>
              <w:spacing w:after="0" w:before="0" w:line="240" w:lineRule="auto"/>
              <w:ind w:left="1440" w:hanging="360"/>
              <w:rPr>
                <w:rFonts w:ascii="Arial" w:cs="Arial" w:eastAsia="Arial" w:hAnsi="Arial"/>
                <w:color w:val="1b1c1d"/>
              </w:rPr>
            </w:pPr>
            <w:bookmarkStart w:colFirst="0" w:colLast="0" w:name="_heading=h.61m8unwrc63z" w:id="2"/>
            <w:bookmarkEnd w:id="2"/>
            <w:r w:rsidDel="00000000" w:rsidR="00000000" w:rsidRPr="00000000">
              <w:rPr>
                <w:rFonts w:ascii="Arial" w:cs="Arial" w:eastAsia="Arial" w:hAnsi="Arial"/>
                <w:color w:val="1b1c1d"/>
                <w:sz w:val="22"/>
                <w:szCs w:val="22"/>
                <w:rtl w:val="0"/>
              </w:rPr>
              <w:t xml:space="preserve">Detección de Resultados Sospechosos</w:t>
              <w:tab/>
            </w:r>
          </w:p>
          <w:p w:rsidR="00000000" w:rsidDel="00000000" w:rsidP="00000000" w:rsidRDefault="00000000" w:rsidRPr="00000000" w14:paraId="0000003E">
            <w:pPr>
              <w:widowControl w:val="1"/>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detección se centra en identificar anomalías estadísticas y revisar toda la información probatoria disponible.</w:t>
            </w:r>
          </w:p>
          <w:p w:rsidR="00000000" w:rsidDel="00000000" w:rsidP="00000000" w:rsidRDefault="00000000" w:rsidRPr="00000000" w14:paraId="0000003F">
            <w:pPr>
              <w:widowControl w:val="1"/>
              <w:numPr>
                <w:ilvl w:val="0"/>
                <w:numId w:val="6"/>
              </w:numPr>
              <w:spacing w:after="0" w:afterAutospacing="0" w:line="240" w:lineRule="auto"/>
              <w:ind w:left="465"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widowControl w:val="1"/>
              <w:numPr>
                <w:ilvl w:val="0"/>
                <w:numId w:val="6"/>
              </w:numPr>
              <w:spacing w:after="0" w:afterAutospacing="0" w:before="0" w:beforeAutospacing="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Consistencia de Datos Auxiliares:</w:t>
            </w:r>
            <w:r w:rsidDel="00000000" w:rsidR="00000000" w:rsidRPr="00000000">
              <w:rPr>
                <w:rFonts w:ascii="Arial" w:cs="Arial" w:eastAsia="Arial" w:hAnsi="Arial"/>
                <w:color w:val="1b1c1d"/>
                <w:sz w:val="22"/>
                <w:szCs w:val="22"/>
                <w:rtl w:val="0"/>
              </w:rPr>
              <w:t xml:space="preserve"> Revisar datos adicionales reportados, como las declaraciones de incertidumbre de la medición, los métodos de medición y la ubicación geográfica, para verificar si existen patrones de similitud o duplicación.</w:t>
            </w:r>
          </w:p>
          <w:p w:rsidR="00000000" w:rsidDel="00000000" w:rsidP="00000000" w:rsidRDefault="00000000" w:rsidRPr="00000000" w14:paraId="00000041">
            <w:pPr>
              <w:widowControl w:val="1"/>
              <w:numPr>
                <w:ilvl w:val="0"/>
                <w:numId w:val="6"/>
              </w:numPr>
              <w:spacing w:after="0" w:afterAutospacing="0" w:before="0" w:beforeAutospacing="0" w:line="240" w:lineRule="auto"/>
              <w:ind w:left="465" w:hanging="360"/>
              <w:rPr>
                <w:rFonts w:ascii="Google Sans Text" w:cs="Google Sans Text" w:eastAsia="Google Sans Text" w:hAnsi="Google Sans Text"/>
                <w:color w:val="1b1c1d"/>
                <w:sz w:val="22"/>
                <w:szCs w:val="22"/>
              </w:rPr>
            </w:pPr>
            <w:r w:rsidDel="00000000" w:rsidR="00000000" w:rsidRPr="00000000">
              <w:rPr>
                <w:rFonts w:ascii="Arial" w:cs="Arial" w:eastAsia="Arial" w:hAnsi="Arial"/>
                <w:b w:val="1"/>
                <w:bCs w:val="1"/>
                <w:color w:val="1b1c1d"/>
                <w:sz w:val="22"/>
                <w:szCs w:val="22"/>
                <w:rtl w:val="0"/>
              </w:rPr>
              <w:t xml:space="preserve">Evaluación de datos atípicos:</w:t>
            </w:r>
            <w:r w:rsidDel="00000000" w:rsidR="00000000" w:rsidRPr="00000000">
              <w:rPr>
                <w:rFonts w:ascii="Arial" w:cs="Arial" w:eastAsia="Arial" w:hAnsi="Arial"/>
                <w:color w:val="1b1c1d"/>
                <w:sz w:val="22"/>
                <w:szCs w:val="22"/>
                <w:rtl w:val="0"/>
              </w:rPr>
              <w:t xml:space="preserve"> Revisar los datos atípicos de acuerdo al diseño estadístico de la prueba (diagramas de cajas y bigotes, prueba de grubbs, etc)</w:t>
            </w:r>
          </w:p>
          <w:p w:rsidR="00000000" w:rsidDel="00000000" w:rsidP="00000000" w:rsidRDefault="00000000" w:rsidRPr="00000000" w14:paraId="00000042">
            <w:pPr>
              <w:widowControl w:val="1"/>
              <w:numPr>
                <w:ilvl w:val="0"/>
                <w:numId w:val="6"/>
              </w:numPr>
              <w:spacing w:after="120" w:before="0" w:beforeAutospacing="0" w:line="240" w:lineRule="auto"/>
              <w:ind w:left="465" w:hanging="360"/>
              <w:rPr>
                <w:rFonts w:ascii="Google Sans Text" w:cs="Google Sans Text" w:eastAsia="Google Sans Text" w:hAnsi="Google Sans Text"/>
                <w:color w:val="1b1c1d"/>
                <w:sz w:val="22"/>
                <w:szCs w:val="22"/>
              </w:rPr>
            </w:pPr>
            <w:r w:rsidDel="00000000" w:rsidR="00000000" w:rsidRPr="00000000">
              <w:rPr>
                <w:rFonts w:ascii="Arial" w:cs="Arial" w:eastAsia="Arial" w:hAnsi="Arial"/>
                <w:sz w:val="22"/>
                <w:szCs w:val="22"/>
                <w:rtl w:val="0"/>
              </w:rPr>
              <w:t xml:space="preserve">Mediante el uso de histogramas para el análisis de distribución de los datos de los participantes, se puede evaluar el sesgo en la participación.</w:t>
            </w:r>
          </w:p>
          <w:p w:rsidR="00000000" w:rsidDel="00000000" w:rsidP="00000000" w:rsidRDefault="00000000" w:rsidRPr="00000000" w14:paraId="00000043">
            <w:pPr>
              <w:widowControl w:val="1"/>
              <w:spacing w:after="120" w:before="12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pStyle w:val="Heading1"/>
              <w:keepNext w:val="0"/>
              <w:keepLines w:val="0"/>
              <w:numPr>
                <w:ilvl w:val="1"/>
                <w:numId w:val="5"/>
              </w:numPr>
              <w:spacing w:after="0" w:before="0" w:lineRule="auto"/>
              <w:ind w:left="1440" w:hanging="360"/>
              <w:rPr>
                <w:rFonts w:ascii="Arial" w:cs="Arial" w:eastAsia="Arial" w:hAnsi="Arial"/>
                <w:b w:val="1"/>
                <w:bCs w:val="1"/>
                <w:color w:val="1b1c1d"/>
              </w:rPr>
            </w:pPr>
            <w:bookmarkStart w:colFirst="0" w:colLast="0" w:name="_heading=h.9nprgctwg5iu" w:id="3"/>
            <w:bookmarkEnd w:id="3"/>
            <w:r w:rsidDel="00000000" w:rsidR="00000000" w:rsidRPr="00000000">
              <w:rPr>
                <w:rFonts w:ascii="Arial" w:cs="Arial" w:eastAsia="Arial" w:hAnsi="Arial"/>
                <w:color w:val="1b1c1d"/>
                <w:sz w:val="22"/>
                <w:szCs w:val="22"/>
                <w:rtl w:val="0"/>
              </w:rPr>
              <w:t xml:space="preserve">Procedimientos de Investigación y Acción Correctiva</w:t>
              <w:tab/>
            </w:r>
          </w:p>
          <w:p w:rsidR="00000000" w:rsidDel="00000000" w:rsidP="00000000" w:rsidRDefault="00000000" w:rsidRPr="00000000" w14:paraId="00000045">
            <w:pPr>
              <w:pStyle w:val="Heading4"/>
              <w:keepNext w:val="0"/>
              <w:keepLines w:val="0"/>
              <w:widowControl w:val="1"/>
              <w:spacing w:after="12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6">
            <w:pPr>
              <w:pStyle w:val="Heading4"/>
              <w:keepNext w:val="0"/>
              <w:keepLines w:val="0"/>
              <w:widowControl w:val="1"/>
              <w:spacing w:after="12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7">
            <w:pPr>
              <w:pStyle w:val="Heading4"/>
              <w:keepNext w:val="0"/>
              <w:keepLines w:val="0"/>
              <w:widowControl w:val="1"/>
              <w:spacing w:after="12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 </w:t>
            </w:r>
          </w:p>
          <w:p w:rsidR="00000000" w:rsidDel="00000000" w:rsidP="00000000" w:rsidRDefault="00000000" w:rsidRPr="00000000" w14:paraId="00000048">
            <w:pPr>
              <w:widowControl w:val="1"/>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Si se sospecha de colusión o falsificación, el PEA debe seguir los procedimientos para Trabajo No Conforme (TNC), asegurando la imparcialidad y la justificación documentada de todas las decisiones. </w:t>
            </w:r>
          </w:p>
          <w:p w:rsidR="00000000" w:rsidDel="00000000" w:rsidP="00000000" w:rsidRDefault="00000000" w:rsidRPr="00000000" w14:paraId="00000049">
            <w:pPr>
              <w:widowControl w:val="1"/>
              <w:spacing w:after="240" w:line="240" w:lineRule="auto"/>
              <w:rPr>
                <w:rFonts w:ascii="Arial" w:cs="Arial" w:eastAsia="Arial" w:hAnsi="Arial"/>
                <w:color w:val="1b1c1d"/>
                <w:sz w:val="22"/>
                <w:szCs w:val="22"/>
              </w:rPr>
            </w:pPr>
            <w:r w:rsidDel="00000000" w:rsidR="00000000" w:rsidRPr="00000000">
              <w:rPr>
                <w:rtl w:val="0"/>
              </w:rPr>
            </w:r>
          </w:p>
          <w:sdt>
            <w:sdtPr>
              <w:lock w:val="contentLocked"/>
              <w:id w:val="1799622295"/>
              <w:tag w:val="goog_rdk_0"/>
            </w:sdtPr>
            <w:sdtContent>
              <w:tbl>
                <w:tblPr>
                  <w:tblStyle w:val="Table4"/>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F-GCM-13 Tabla de requisitos de conformidad </w:t>
                      </w:r>
                    </w:p>
                    <w:p w:rsidR="00000000" w:rsidDel="00000000" w:rsidP="00000000" w:rsidRDefault="00000000" w:rsidRPr="00000000" w14:paraId="0000004B">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(aca definimos las responsabilidades)</w:t>
                      </w:r>
                    </w:p>
                    <w:p w:rsidR="00000000" w:rsidDel="00000000" w:rsidP="00000000" w:rsidRDefault="00000000" w:rsidRPr="00000000" w14:paraId="0000004C">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F-GCM-14 Trabajo No Conforme</w:t>
                      </w:r>
                    </w:p>
                    <w:p w:rsidR="00000000" w:rsidDel="00000000" w:rsidP="00000000" w:rsidRDefault="00000000" w:rsidRPr="00000000" w14:paraId="0000004D">
                      <w:pPr>
                        <w:widowControl w:val="1"/>
                        <w:spacing w:line="240" w:lineRule="auto"/>
                        <w:rPr>
                          <w:rFonts w:ascii="Arial" w:cs="Arial" w:eastAsia="Arial" w:hAnsi="Arial"/>
                          <w:color w:val="1b1c1d"/>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1"/>
                        <w:spacing w:line="240" w:lineRule="auto"/>
                        <w:rPr>
                          <w:rFonts w:ascii="Arial" w:cs="Arial" w:eastAsia="Arial" w:hAnsi="Arial"/>
                          <w:color w:val="1b1c1d"/>
                          <w:sz w:val="22"/>
                          <w:szCs w:val="22"/>
                        </w:rPr>
                      </w:pPr>
                      <w:r w:rsidDel="00000000" w:rsidR="00000000" w:rsidRPr="00000000">
                        <w:rPr>
                          <w:rtl w:val="0"/>
                        </w:rPr>
                      </w:r>
                    </w:p>
                  </w:tc>
                </w:tr>
              </w:tbl>
            </w:sdtContent>
          </w:sdt>
          <w:p w:rsidR="00000000" w:rsidDel="00000000" w:rsidP="00000000" w:rsidRDefault="00000000" w:rsidRPr="00000000" w14:paraId="0000004F">
            <w:pPr>
              <w:widowControl w:val="1"/>
              <w:spacing w:after="24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0">
            <w:pPr>
              <w:widowControl w:val="1"/>
              <w:spacing w:after="120"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Gestión del Trabajo No Conforme (TNC) (ISO/IEC 17043, Cláusula 7.5.4)</w:t>
            </w:r>
          </w:p>
          <w:p w:rsidR="00000000" w:rsidDel="00000000" w:rsidP="00000000" w:rsidRDefault="00000000" w:rsidRPr="00000000" w14:paraId="00000051">
            <w:pPr>
              <w:widowControl w:val="1"/>
              <w:numPr>
                <w:ilvl w:val="0"/>
                <w:numId w:val="3"/>
              </w:numPr>
              <w:spacing w:after="0" w:afterAutospacing="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Definir Autoridad:</w:t>
            </w:r>
            <w:r w:rsidDel="00000000" w:rsidR="00000000" w:rsidRPr="00000000">
              <w:rPr>
                <w:rFonts w:ascii="Arial" w:cs="Arial" w:eastAsia="Arial" w:hAnsi="Arial"/>
                <w:color w:val="1b1c1d"/>
                <w:sz w:val="22"/>
                <w:szCs w:val="22"/>
                <w:rtl w:val="0"/>
              </w:rPr>
              <w:t xml:space="preserve"> Asignadas y definidas en el F-GCM 13 Tabla de requisitos de conformidad.</w:t>
            </w:r>
          </w:p>
          <w:p w:rsidR="00000000" w:rsidDel="00000000" w:rsidP="00000000" w:rsidRDefault="00000000" w:rsidRPr="00000000" w14:paraId="00000052">
            <w:pPr>
              <w:widowControl w:val="1"/>
              <w:numPr>
                <w:ilvl w:val="0"/>
                <w:numId w:val="3"/>
              </w:numPr>
              <w:spacing w:after="120" w:before="0" w:beforeAutospacing="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Evaluar el Riesgo:</w:t>
            </w:r>
            <w:r w:rsidDel="00000000" w:rsidR="00000000" w:rsidRPr="00000000">
              <w:rPr>
                <w:rFonts w:ascii="Arial" w:cs="Arial" w:eastAsia="Arial" w:hAnsi="Arial"/>
                <w:color w:val="1b1c1d"/>
                <w:sz w:val="22"/>
                <w:szCs w:val="22"/>
                <w:rtl w:val="0"/>
              </w:rPr>
              <w:t xml:space="preserve"> Definir acciones inmediatas, incluyendo la posibilidad de detener el esquema o ronda de EA en curso y retener los informes de EA, basándose en los niveles de riesgo establecidos.</w:t>
            </w:r>
          </w:p>
          <w:p w:rsidR="00000000" w:rsidDel="00000000" w:rsidP="00000000" w:rsidRDefault="00000000" w:rsidRPr="00000000" w14:paraId="00000053">
            <w:pPr>
              <w:widowControl w:val="1"/>
              <w:spacing w:after="120" w:before="120" w:line="240" w:lineRule="auto"/>
              <w:rPr>
                <w:rFonts w:ascii="Arial" w:cs="Arial" w:eastAsia="Arial" w:hAnsi="Arial"/>
                <w:color w:val="1b1c1d"/>
                <w:sz w:val="22"/>
                <w:szCs w:val="22"/>
              </w:rPr>
            </w:pPr>
            <w:r w:rsidDel="00000000" w:rsidR="00000000" w:rsidRPr="00000000">
              <w:rPr>
                <w:rtl w:val="0"/>
              </w:rPr>
            </w:r>
          </w:p>
          <w:sdt>
            <w:sdtPr>
              <w:lock w:val="contentLocked"/>
              <w:id w:val="-1028500878"/>
              <w:tag w:val="goog_rdk_1"/>
            </w:sdtPr>
            <w:sdtContent>
              <w:tbl>
                <w:tblPr>
                  <w:tblStyle w:val="Table5"/>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Medodologia de riesgos: U.GU.15.001.003 Guía para la administración de riesgos de procesos V9 y </w:t>
                      </w:r>
                    </w:p>
                    <w:p w:rsidR="00000000" w:rsidDel="00000000" w:rsidP="00000000" w:rsidRDefault="00000000" w:rsidRPr="00000000" w14:paraId="00000055">
                      <w:pPr>
                        <w:widowControl w:val="1"/>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registro quedaría en U.FT.15.001.028 Ficha escenario de riesgo_AmpliaciónAlcance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1"/>
                        <w:spacing w:line="240" w:lineRule="auto"/>
                        <w:rPr>
                          <w:rFonts w:ascii="Arial" w:cs="Arial" w:eastAsia="Arial" w:hAnsi="Arial"/>
                          <w:color w:val="1b1c1d"/>
                          <w:sz w:val="22"/>
                          <w:szCs w:val="22"/>
                        </w:rPr>
                      </w:pPr>
                      <w:r w:rsidDel="00000000" w:rsidR="00000000" w:rsidRPr="00000000">
                        <w:rPr>
                          <w:rtl w:val="0"/>
                        </w:rPr>
                      </w:r>
                    </w:p>
                  </w:tc>
                </w:tr>
              </w:tbl>
            </w:sdtContent>
          </w:sdt>
          <w:p w:rsidR="00000000" w:rsidDel="00000000" w:rsidP="00000000" w:rsidRDefault="00000000" w:rsidRPr="00000000" w14:paraId="00000057">
            <w:pPr>
              <w:widowControl w:val="1"/>
              <w:spacing w:after="120" w:before="12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8">
            <w:pPr>
              <w:widowControl w:val="1"/>
              <w:numPr>
                <w:ilvl w:val="0"/>
                <w:numId w:val="3"/>
              </w:numPr>
              <w:spacing w:after="120" w:before="12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Evaluación de la Importancia:</w:t>
            </w:r>
            <w:r w:rsidDel="00000000" w:rsidR="00000000" w:rsidRPr="00000000">
              <w:rPr>
                <w:rFonts w:ascii="Arial" w:cs="Arial" w:eastAsia="Arial" w:hAnsi="Arial"/>
                <w:color w:val="1b1c1d"/>
                <w:sz w:val="22"/>
                <w:szCs w:val="22"/>
                <w:rtl w:val="0"/>
              </w:rPr>
              <w:t xml:space="preserve"> Se debe realizar una evaluación de la importancia de la actividad no conforme, incluyendo un análisis de impacto en actividades de EA anteriores. El descubrimiento de una duplicación obvia en un informe final disminuye seriamente la credibilidad.</w:t>
            </w:r>
          </w:p>
          <w:p w:rsidR="00000000" w:rsidDel="00000000" w:rsidP="00000000" w:rsidRDefault="00000000" w:rsidRPr="00000000" w14:paraId="00000059">
            <w:pPr>
              <w:widowControl w:val="1"/>
              <w:spacing w:after="120" w:before="12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A">
            <w:pPr>
              <w:widowControl w:val="1"/>
              <w:spacing w:after="120" w:before="12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B">
            <w:pPr>
              <w:widowControl w:val="1"/>
              <w:spacing w:after="120" w:before="12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C">
            <w:pPr>
              <w:widowControl w:val="1"/>
              <w:spacing w:after="120" w:before="12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D">
            <w:pPr>
              <w:widowControl w:val="1"/>
              <w:spacing w:after="120" w:before="120"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5.2 Decisión sobre Acción Administrativa</w:t>
            </w:r>
          </w:p>
          <w:p w:rsidR="00000000" w:rsidDel="00000000" w:rsidP="00000000" w:rsidRDefault="00000000" w:rsidRPr="00000000" w14:paraId="0000005E">
            <w:pPr>
              <w:widowControl w:val="1"/>
              <w:numPr>
                <w:ilvl w:val="0"/>
                <w:numId w:val="1"/>
              </w:numPr>
              <w:spacing w:after="0" w:afterAutospacing="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Evidencia Insuficiente:</w:t>
            </w:r>
            <w:r w:rsidDel="00000000" w:rsidR="00000000" w:rsidRPr="00000000">
              <w:rPr>
                <w:rFonts w:ascii="Arial" w:cs="Arial" w:eastAsia="Arial" w:hAnsi="Arial"/>
                <w:color w:val="1b1c1d"/>
                <w:sz w:val="22"/>
                <w:szCs w:val="22"/>
                <w:rtl w:val="0"/>
              </w:rPr>
              <w:t xml:space="preserve"> Si la evidencia es insuficiente para probar de manera concluyente una conducta no ética, el proveedor puede decidir no tomar más medidas, dejando registro de la investigación de la situación.</w:t>
            </w:r>
          </w:p>
          <w:p w:rsidR="00000000" w:rsidDel="00000000" w:rsidP="00000000" w:rsidRDefault="00000000" w:rsidRPr="00000000" w14:paraId="0000005F">
            <w:pPr>
              <w:widowControl w:val="1"/>
              <w:numPr>
                <w:ilvl w:val="0"/>
                <w:numId w:val="1"/>
              </w:numPr>
              <w:spacing w:after="0" w:afterAutospacing="0" w:before="0" w:beforeAutospacing="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Actividad Fraudulenta Confirmada:</w:t>
            </w:r>
            <w:r w:rsidDel="00000000" w:rsidR="00000000" w:rsidRPr="00000000">
              <w:rPr>
                <w:rFonts w:ascii="Arial" w:cs="Arial" w:eastAsia="Arial" w:hAnsi="Arial"/>
                <w:color w:val="1b1c1d"/>
                <w:sz w:val="22"/>
                <w:szCs w:val="22"/>
                <w:rtl w:val="0"/>
              </w:rPr>
              <w:t xml:space="preserve"> Si el proveedor de EA determina que el participante (OEC) incurrió en falsificación, colusión u ocultamiento de resultados, el proveedor de EA debe cumplir con los requisitos regulatorios aplicables.</w:t>
            </w:r>
            <w:r w:rsidDel="00000000" w:rsidR="00000000" w:rsidRPr="00000000">
              <w:rPr>
                <w:rtl w:val="0"/>
              </w:rPr>
            </w:r>
          </w:p>
          <w:p w:rsidR="00000000" w:rsidDel="00000000" w:rsidP="00000000" w:rsidRDefault="00000000" w:rsidRPr="00000000" w14:paraId="00000060">
            <w:pPr>
              <w:widowControl w:val="1"/>
              <w:numPr>
                <w:ilvl w:val="0"/>
                <w:numId w:val="1"/>
              </w:numPr>
              <w:spacing w:after="120" w:before="0" w:beforeAutospacing="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Potencial de Recurrencia:</w:t>
            </w:r>
            <w:r w:rsidDel="00000000" w:rsidR="00000000" w:rsidRPr="00000000">
              <w:rPr>
                <w:rFonts w:ascii="Arial" w:cs="Arial" w:eastAsia="Arial" w:hAnsi="Arial"/>
                <w:color w:val="1b1c1d"/>
                <w:sz w:val="22"/>
                <w:szCs w:val="22"/>
                <w:rtl w:val="0"/>
              </w:rPr>
              <w:t xml:space="preserve"> Si el TNC sugiere la posibilidad de recurrencia, se deberá seguir sin demora el procedimiento de acción correctiva (ISO/IEC 17043, Cláusula 8.7), lo que requerirá la revisión y modificación del diseño del programa.</w:t>
            </w:r>
          </w:p>
          <w:p w:rsidR="00000000" w:rsidDel="00000000" w:rsidP="00000000" w:rsidRDefault="00000000" w:rsidRPr="00000000" w14:paraId="00000061">
            <w:pPr>
              <w:widowControl w:val="1"/>
              <w:spacing w:after="120" w:before="12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62">
            <w:pPr>
              <w:pStyle w:val="Heading1"/>
              <w:keepNext w:val="0"/>
              <w:keepLines w:val="0"/>
              <w:numPr>
                <w:ilvl w:val="1"/>
                <w:numId w:val="5"/>
              </w:numPr>
              <w:spacing w:after="0" w:before="0" w:lineRule="auto"/>
              <w:ind w:left="1440" w:hanging="360"/>
              <w:rPr>
                <w:rFonts w:ascii="Arial" w:cs="Arial" w:eastAsia="Arial" w:hAnsi="Arial"/>
                <w:b w:val="1"/>
                <w:bCs w:val="1"/>
                <w:color w:val="1b1c1d"/>
              </w:rPr>
            </w:pPr>
            <w:bookmarkStart w:colFirst="0" w:colLast="0" w:name="_heading=h.b7l7pfryqq63" w:id="4"/>
            <w:bookmarkEnd w:id="4"/>
            <w:r w:rsidDel="00000000" w:rsidR="00000000" w:rsidRPr="00000000">
              <w:rPr>
                <w:rFonts w:ascii="Arial" w:cs="Arial" w:eastAsia="Arial" w:hAnsi="Arial"/>
                <w:color w:val="1b1c1d"/>
                <w:sz w:val="22"/>
                <w:szCs w:val="22"/>
                <w:rtl w:val="0"/>
              </w:rPr>
              <w:t xml:space="preserve">Documentación y Control de Registros</w:t>
              <w:tab/>
            </w:r>
          </w:p>
          <w:p w:rsidR="00000000" w:rsidDel="00000000" w:rsidP="00000000" w:rsidRDefault="00000000" w:rsidRPr="00000000" w14:paraId="00000063">
            <w:pPr>
              <w:widowControl w:val="1"/>
              <w:spacing w:after="120" w:before="12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64">
            <w:pPr>
              <w:widowControl w:val="1"/>
              <w:spacing w:after="12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Todos los registros pertenecientes a la investigación, datos técnicos y comunicaciones deben ser conservados de forma segura y confidencial.</w:t>
            </w:r>
          </w:p>
          <w:p w:rsidR="00000000" w:rsidDel="00000000" w:rsidP="00000000" w:rsidRDefault="00000000" w:rsidRPr="00000000" w14:paraId="00000065">
            <w:pPr>
              <w:widowControl w:val="1"/>
              <w:numPr>
                <w:ilvl w:val="0"/>
                <w:numId w:val="2"/>
              </w:numPr>
              <w:spacing w:after="0" w:afterAutospacing="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Registros Técnicos:</w:t>
            </w:r>
            <w:r w:rsidDel="00000000" w:rsidR="00000000" w:rsidRPr="00000000">
              <w:rPr>
                <w:rFonts w:ascii="Arial" w:cs="Arial" w:eastAsia="Arial" w:hAnsi="Arial"/>
                <w:color w:val="1b1c1d"/>
                <w:sz w:val="22"/>
                <w:szCs w:val="22"/>
                <w:rtl w:val="0"/>
              </w:rPr>
              <w:t xml:space="preserve"> Conservar las respuestas originales de los participantes, los datos crudos presentados, los datos recopilados para el análisis estadístico y los informes finales para establecer una clara pista de auditoría.</w:t>
            </w:r>
          </w:p>
          <w:p w:rsidR="00000000" w:rsidDel="00000000" w:rsidP="00000000" w:rsidRDefault="00000000" w:rsidRPr="00000000" w14:paraId="00000066">
            <w:pPr>
              <w:widowControl w:val="1"/>
              <w:numPr>
                <w:ilvl w:val="0"/>
                <w:numId w:val="2"/>
              </w:numPr>
              <w:spacing w:after="0" w:afterAutospacing="0" w:before="0" w:beforeAutospacing="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Registros de TNC:</w:t>
            </w:r>
            <w:r w:rsidDel="00000000" w:rsidR="00000000" w:rsidRPr="00000000">
              <w:rPr>
                <w:rFonts w:ascii="Arial" w:cs="Arial" w:eastAsia="Arial" w:hAnsi="Arial"/>
                <w:color w:val="1b1c1d"/>
                <w:sz w:val="22"/>
                <w:szCs w:val="22"/>
                <w:rtl w:val="0"/>
              </w:rPr>
              <w:t xml:space="preserve"> Conservar los registros de todo el trabajo no conforme y las acciones tomadas, incluyendo la naturaleza de la no conformidad, la(s) causa(s) y la eficacia de las acciones correctivas.</w:t>
            </w:r>
          </w:p>
          <w:p w:rsidR="00000000" w:rsidDel="00000000" w:rsidP="00000000" w:rsidRDefault="00000000" w:rsidRPr="00000000" w14:paraId="00000067">
            <w:pPr>
              <w:widowControl w:val="1"/>
              <w:numPr>
                <w:ilvl w:val="0"/>
                <w:numId w:val="2"/>
              </w:numPr>
              <w:spacing w:after="0" w:afterAutospacing="0" w:before="0" w:beforeAutospacing="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Integridad de los Datos:</w:t>
            </w:r>
            <w:r w:rsidDel="00000000" w:rsidR="00000000" w:rsidRPr="00000000">
              <w:rPr>
                <w:rFonts w:ascii="Arial" w:cs="Arial" w:eastAsia="Arial" w:hAnsi="Arial"/>
                <w:color w:val="1b1c1d"/>
                <w:sz w:val="22"/>
                <w:szCs w:val="22"/>
                <w:rtl w:val="0"/>
              </w:rPr>
              <w:t xml:space="preserve"> Asegurar que las respuestas originales, la entrada de datos, la verificación y los cálculos se registren en el momento en que se realizan. Cualquier modificación a los registros debe ser tachada (no borrada ni eliminada), con la entrada correcta firmada o rubricada, asegurando la trazabilidad de los datos originales.</w:t>
            </w:r>
          </w:p>
          <w:p w:rsidR="00000000" w:rsidDel="00000000" w:rsidP="00000000" w:rsidRDefault="00000000" w:rsidRPr="00000000" w14:paraId="00000068">
            <w:pPr>
              <w:widowControl w:val="1"/>
              <w:numPr>
                <w:ilvl w:val="0"/>
                <w:numId w:val="2"/>
              </w:numPr>
              <w:spacing w:after="120" w:before="0" w:beforeAutospacing="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Confidencialidad:</w:t>
            </w:r>
            <w:r w:rsidDel="00000000" w:rsidR="00000000" w:rsidRPr="00000000">
              <w:rPr>
                <w:rFonts w:ascii="Arial" w:cs="Arial" w:eastAsia="Arial" w:hAnsi="Arial"/>
                <w:color w:val="1b1c1d"/>
                <w:sz w:val="22"/>
                <w:szCs w:val="22"/>
                <w:rtl w:val="0"/>
              </w:rPr>
              <w:t xml:space="preserve"> Todos los registros y las identidades de los participantes se mantendrán confidenciales y protegidos contra el acceso o la manipulación no autorizados. Registro de asignación de códigos aleatorios para confidencialidad de los participantes.</w:t>
            </w:r>
          </w:p>
          <w:p w:rsidR="00000000" w:rsidDel="00000000" w:rsidP="00000000" w:rsidRDefault="00000000" w:rsidRPr="00000000" w14:paraId="00000069">
            <w:pPr>
              <w:widowControl w:val="0"/>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tc>
      </w:tr>
    </w:tbl>
    <w:p w:rsidR="00000000" w:rsidDel="00000000" w:rsidP="00000000" w:rsidRDefault="00000000" w:rsidRPr="00000000" w14:paraId="0000006B">
      <w:pPr>
        <w:jc w:val="both"/>
        <w:rPr>
          <w:rFonts w:ascii="Arial" w:cs="Arial" w:eastAsia="Arial" w:hAnsi="Arial"/>
          <w:sz w:val="22"/>
          <w:szCs w:val="22"/>
          <w:vertAlign w:val="baseline"/>
        </w:rPr>
      </w:pPr>
      <w:r w:rsidDel="00000000" w:rsidR="00000000" w:rsidRPr="00000000">
        <w:rPr>
          <w:rtl w:val="0"/>
        </w:rPr>
      </w:r>
    </w:p>
    <w:tbl>
      <w:tblPr>
        <w:tblStyle w:val="Table6"/>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06C">
            <w:pPr>
              <w:spacing w:after="120" w:before="120" w:lineRule="auto"/>
              <w:jc w:val="center"/>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06D">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6E">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06F">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70">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071">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72">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073">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74">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075">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76">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77">
            <w:pPr>
              <w:spacing w:after="120" w:before="12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78">
      <w:pPr>
        <w:spacing w:after="120" w:lineRule="auto"/>
        <w:jc w:val="both"/>
        <w:rPr>
          <w:rFonts w:ascii="Arial" w:cs="Arial" w:eastAsia="Arial" w:hAnsi="Arial"/>
          <w:sz w:val="22"/>
          <w:szCs w:val="22"/>
          <w:vertAlign w:val="baseline"/>
        </w:rPr>
      </w:pPr>
      <w:r w:rsidDel="00000000" w:rsidR="00000000" w:rsidRPr="00000000">
        <w:rPr>
          <w:rtl w:val="0"/>
        </w:rPr>
      </w:r>
    </w:p>
    <w:sectPr>
      <w:headerReference r:id="rId7" w:type="default"/>
      <w:pgSz w:h="12242" w:w="15842"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7"/>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30" name="image1.png"/>
                <a:graphic>
                  <a:graphicData uri="http://schemas.openxmlformats.org/drawingml/2006/picture">
                    <pic:pic>
                      <pic:nvPicPr>
                        <pic:cNvPr descr="Sin título" id="0" name="image1.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P-PSEA-0</w:t>
          </w: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PROCEDIMIENTO PARA GESTIÓN COLUSIÓN/FALSIFICACIÓN DE RESULTADOS</w:t>
          </w:r>
          <w:r w:rsidDel="00000000" w:rsidR="00000000" w:rsidRPr="00000000">
            <w:rPr>
              <w:rtl w:val="0"/>
            </w:rPr>
          </w:r>
        </w:p>
      </w:tc>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b w:val="1"/>
        <w:bCs w:val="1"/>
        <w:i w:val="0"/>
        <w:iCs w:val="0"/>
        <w:vertAlign w:val="baseline"/>
      </w:rPr>
    </w:lvl>
    <w:lvl w:ilvl="1">
      <w:start w:val="2"/>
      <w:numFmt w:val="decimal"/>
      <w:lvlText w:val="%1.%2."/>
      <w:lvlJc w:val="left"/>
      <w:pPr>
        <w:ind w:left="792" w:hanging="432"/>
      </w:pPr>
      <w:rPr>
        <w:b w:val="1"/>
        <w:bCs w:val="1"/>
        <w:vertAlign w:val="baseline"/>
      </w:rPr>
    </w:lvl>
    <w:lvl w:ilvl="2">
      <w:start w:val="1"/>
      <w:numFmt w:val="decimal"/>
      <w:lvlText w:val="%1.%2.%3."/>
      <w:lvlJc w:val="left"/>
      <w:pPr>
        <w:ind w:left="1224" w:hanging="504"/>
      </w:pPr>
      <w:rPr>
        <w:b w:val="1"/>
        <w:bCs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5">
    <w:lvl w:ilvl="0">
      <w:start w:val="2"/>
      <w:numFmt w:val="decimal"/>
      <w:lvlText w:val="%1."/>
      <w:lvlJc w:val="right"/>
      <w:pPr>
        <w:ind w:left="720" w:hanging="360"/>
      </w:pPr>
      <w:rPr>
        <w:u w:val="none"/>
      </w:rPr>
    </w:lvl>
    <w:lvl w:ilvl="1">
      <w:start w:val="1"/>
      <w:numFmt w:val="decimal"/>
      <w:lvlText w:val="%1.%2."/>
      <w:lvlJc w:val="right"/>
      <w:pPr>
        <w:ind w:left="1440" w:hanging="360"/>
      </w:pPr>
      <w:rPr>
        <w:sz w:val="22"/>
        <w:szCs w:val="22"/>
        <w:u w:val="none"/>
      </w:rPr>
    </w:lvl>
    <w:lvl w:ilvl="2">
      <w:start w:val="1"/>
      <w:numFmt w:val="decimal"/>
      <w:lvlText w:val="%1.%2.%3."/>
      <w:lvlJc w:val="right"/>
      <w:pPr>
        <w:ind w:left="2160" w:hanging="360"/>
      </w:pPr>
      <w:rPr>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4Z0Kt43zoRkoaKFfg/59GcRbGg==">CgMxLjAaHwoBMBIaChgICVIUChJ0YWJsZS5lMmViYm04bTdhenMaHwoBMRIaChgICVIUChJ0YWJsZS5wbjJnMjdoYmRtcGoyDmgudXpjM2k0cnhwb2I5Mg5oLnh1bTB5OHFsNXowMzIOaC42MW04dW53cmM2M3oyDmguOW5wcmdjdHdnNWl1Mg5oLmI3bDdwZnJ5cXE2MzgAciExTVNJUmE2Yjl3UEZJbzlDWEc5R3ZvU21RYWQtbHAzTS0=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