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X98ff06ecb6165d65bff21043c3efcbba431fcb9"/>
      <w:r>
        <w:rPr/>
        <w:t>Segunda Comunicación a Participantes — Ensayo de Aptitud CALAIRE-EA</w:t>
      </w:r>
    </w:p>
    <w:p>
      <w:pPr>
        <w:pStyle w:val="FirstParagraph"/>
        <w:rPr/>
      </w:pPr>
      <w:r>
        <w:rPr/>
        <w:t>Estimados participantes,</w:t>
      </w:r>
    </w:p>
    <w:p>
      <w:pPr>
        <w:pStyle w:val="BodyText"/>
        <w:rPr/>
      </w:pPr>
      <w:r>
        <w:rPr/>
        <w:t xml:space="preserve">Reciban un cordial saludo del equipo del Laboratorio CALAIRE y del proyecto de investigación </w:t>
      </w:r>
      <w:r>
        <w:rPr>
          <w:b/>
          <w:bCs/>
        </w:rPr>
        <w:t>“Implementación de ensayos de aptitud en la matriz aire — Caso gases contaminantes criterio” (Código 61134)</w:t>
      </w:r>
      <w:r>
        <w:rPr/>
        <w:t>, de la Universidad Nacional de Colombia, Sede Medellín.</w:t>
      </w:r>
    </w:p>
    <w:p>
      <w:pPr>
        <w:pStyle w:val="BodyText"/>
        <w:rPr/>
      </w:pPr>
      <w:r>
        <w:rPr/>
        <w:t xml:space="preserve">Esta comunicación tiene dos propósitos: (1) informarles sobre </w:t>
      </w:r>
      <w:r>
        <w:rPr/>
        <w:t xml:space="preserve">la </w:t>
      </w:r>
      <w:r>
        <w:rPr>
          <w:b/>
          <w:bCs/>
        </w:rPr>
        <w:t>confirmación de</w:t>
      </w:r>
      <w:r>
        <w:rPr>
          <w:b/>
          <w:bCs/>
        </w:rPr>
        <w:t xml:space="preserve"> las fechas</w:t>
      </w:r>
      <w:r>
        <w:rPr/>
        <w:t xml:space="preserve"> de la prueba piloto para la </w:t>
      </w:r>
      <w:r>
        <w:rPr>
          <w:b/>
          <w:bCs/>
        </w:rPr>
        <w:t>semana del 22 de junio de 2026</w:t>
      </w:r>
      <w:r>
        <w:rPr/>
        <w:t xml:space="preserve">, y (2) brindarles una </w:t>
      </w:r>
      <w:r>
        <w:rPr>
          <w:b/>
          <w:bCs/>
        </w:rPr>
        <w:t>explicación detallada de cómo funciona el ensayo</w:t>
      </w:r>
      <w:r>
        <w:rPr/>
        <w:t xml:space="preserve">, para que puedan prepararse de la mejor manera. Próximamente les estaremos convocando a una </w:t>
      </w:r>
      <w:r>
        <w:rPr>
          <w:b/>
          <w:bCs/>
        </w:rPr>
        <w:t>reunión informativa</w:t>
      </w:r>
      <w:r>
        <w:rPr/>
        <w:t xml:space="preserve"> donde podremos resolver todas las dudas que surjan.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actualización-de-fechas"/>
      <w:r>
        <w:rPr/>
        <w:t xml:space="preserve">1. </w:t>
      </w:r>
      <w:r>
        <w:rPr/>
        <w:t xml:space="preserve">Confirmación </w:t>
      </w:r>
      <w:r>
        <w:rPr/>
        <w:t>de Fechas</w:t>
      </w:r>
    </w:p>
    <w:p>
      <w:pPr>
        <w:pStyle w:val="FirstParagraph"/>
        <w:rPr/>
      </w:pPr>
      <w:bookmarkStart w:id="2" w:name="qué-cambió-y-por-qué"/>
      <w:r>
        <w:rPr/>
        <w:t xml:space="preserve">La nueva ventana de ejecución será durante la </w:t>
      </w:r>
      <w:r>
        <w:rPr>
          <w:b/>
          <w:bCs/>
        </w:rPr>
        <w:t>semana del 22 de junio de 2026</w:t>
      </w:r>
      <w:r>
        <w:rPr/>
        <w:t>.</w:t>
      </w:r>
    </w:p>
    <w:p>
      <w:pPr>
        <w:pStyle w:val="BodyText"/>
        <w:rPr/>
      </w:pPr>
      <w:r>
        <w:rPr/>
        <w:t>Las nuevas fechas  son: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Hito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Fecha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Recepción, instalación y aclimatación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Lunes 22 de junio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Calibración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Martes 23 de junio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Mediciones de los cinco contaminantes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Miércoles 24 a Viernes 26 de junio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Cierre y recolección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Viernes 26 de junio</w:t>
            </w:r>
          </w:p>
        </w:tc>
      </w:tr>
    </w:tbl>
    <w:p>
      <w:pPr>
        <w:pStyle w:val="BlockText"/>
        <w:rPr/>
      </w:pPr>
      <w:r>
        <w:rPr>
          <w:b/>
          <w:bCs/>
        </w:rPr>
        <w:t>Nota:</w:t>
      </w:r>
      <w:r>
        <w:rPr/>
        <w:t xml:space="preserve"> Esta es una </w:t>
      </w:r>
      <w:r>
        <w:rPr>
          <w:b/>
          <w:bCs/>
        </w:rPr>
        <w:t>ronda única y continua</w:t>
      </w:r>
      <w:r>
        <w:rPr/>
        <w:t xml:space="preserve"> que cubre los </w:t>
      </w:r>
      <w:r>
        <w:rPr>
          <w:b/>
          <w:bCs/>
        </w:rPr>
        <w:t>cinco contaminantes</w:t>
      </w:r>
      <w:r>
        <w:rPr/>
        <w:t xml:space="preserve"> durante toda la semana operativa.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"/>
      <w:bookmarkEnd w:id="2"/>
    </w:p>
    <w:p>
      <w:pPr>
        <w:pStyle w:val="Heading2"/>
        <w:rPr/>
      </w:pPr>
      <w:bookmarkStart w:id="3" w:name="X009d5319f087fb866cfcadd0c2336d0bc41d9ea"/>
      <w:r>
        <w:rPr/>
        <w:t>2. ¿Qué es un Ensayo de Aptitud y para qué sirve?</w:t>
      </w:r>
    </w:p>
    <w:p>
      <w:pPr>
        <w:pStyle w:val="FirstParagraph"/>
        <w:rPr/>
      </w:pPr>
      <w:r>
        <w:rPr/>
        <w:t xml:space="preserve">Un Ensayo de Aptitud (EA) es un ejercicio de </w:t>
      </w:r>
      <w:r>
        <w:rPr>
          <w:b/>
          <w:bCs/>
        </w:rPr>
        <w:t>comparación interlaboratorio</w:t>
      </w:r>
      <w:r>
        <w:rPr/>
        <w:t xml:space="preserve"> organizado conforme a la norma </w:t>
      </w:r>
      <w:r>
        <w:rPr>
          <w:b/>
          <w:bCs/>
        </w:rPr>
        <w:t>ISO/IEC 17043:2023</w:t>
      </w:r>
      <w:r>
        <w:rPr/>
        <w:t xml:space="preserve">. En términos sencillos: varios laboratorios miden </w:t>
      </w:r>
      <w:r>
        <w:rPr>
          <w:b/>
          <w:bCs/>
        </w:rPr>
        <w:t>la misma muestra de gas</w:t>
      </w:r>
      <w:r>
        <w:rPr/>
        <w:t xml:space="preserve"> bajo condiciones controladas, y luego se comparan los resultados para evaluar qué tan bien está midiendo cada uno.</w:t>
      </w:r>
    </w:p>
    <w:p>
      <w:pPr>
        <w:pStyle w:val="BodyText"/>
        <w:rPr/>
      </w:pPr>
      <w:r>
        <w:rPr>
          <w:b/>
          <w:bCs/>
        </w:rPr>
        <w:t>¿Por qué participar?</w:t>
      </w:r>
    </w:p>
    <w:p>
      <w:pPr>
        <w:pStyle w:val="Compact"/>
        <w:numPr>
          <w:ilvl w:val="0"/>
          <w:numId w:val="1"/>
        </w:numPr>
        <w:rPr/>
      </w:pPr>
      <w:r>
        <w:rPr/>
        <w:t>Permite identificar si sus equipos y procedimientos están generando resultados confiables.</w:t>
      </w:r>
    </w:p>
    <w:p>
      <w:pPr>
        <w:pStyle w:val="Compact"/>
        <w:numPr>
          <w:ilvl w:val="0"/>
          <w:numId w:val="1"/>
        </w:numPr>
        <w:rPr/>
      </w:pPr>
      <w:r>
        <w:rPr/>
        <w:t>Sirve como evidencia de competencia técnica ante organismos de acreditación (IDEAM, ONAC).</w:t>
      </w:r>
    </w:p>
    <w:p>
      <w:pPr>
        <w:pStyle w:val="Compact"/>
        <w:numPr>
          <w:ilvl w:val="0"/>
          <w:numId w:val="1"/>
        </w:numPr>
        <w:rPr/>
      </w:pPr>
      <w:r>
        <w:rPr/>
        <w:t>Ayuda a detectar problemas de calibración, deriva instrumental o errores sistemáticos que de otro modo podrían pasar desapercibidos.</w:t>
      </w:r>
    </w:p>
    <w:p>
      <w:pPr>
        <w:pStyle w:val="Compact"/>
        <w:numPr>
          <w:ilvl w:val="0"/>
          <w:numId w:val="1"/>
        </w:numPr>
        <w:rPr/>
      </w:pPr>
      <w:r>
        <w:rPr/>
        <w:t>Es un requisito cada vez más relevante para laboratorios que realizan vigilancia de calidad del aire en Colombia.</w:t>
      </w:r>
    </w:p>
    <w:p>
      <w:pPr>
        <w:pStyle w:val="FirstParagraph"/>
        <w:rPr/>
      </w:pPr>
      <w:r>
        <w:rPr/>
        <w:t xml:space="preserve">En esta prueba piloto, estamos validando la metodología del ensayo antes de ofrecerlo como servicio regular. Por eso </w:t>
      </w:r>
      <w:r>
        <w:rPr>
          <w:b/>
          <w:bCs/>
        </w:rPr>
        <w:t>la participación es completamente gratuita</w:t>
      </w:r>
      <w:r>
        <w:rPr/>
        <w:t xml:space="preserve"> — los participantes solo asumen el transporte de sus equipos y consumibles propios.</w:t>
      </w:r>
    </w:p>
    <w:p>
      <w:pPr>
        <w:pStyle w:val="BodyText"/>
        <w:rPr/>
      </w:pPr>
      <w:r>
        <w:rPr/>
        <w:t xml:space="preserve">Es importante aclarar que el </w:t>
      </w:r>
      <w:r>
        <w:rPr>
          <w:b/>
          <w:bCs/>
        </w:rPr>
        <w:t>informe de resultados</w:t>
      </w:r>
      <w:r>
        <w:rPr/>
        <w:t xml:space="preserve"> emitido en esta etapa corresponde a una </w:t>
      </w:r>
      <w:r>
        <w:rPr>
          <w:b/>
          <w:bCs/>
        </w:rPr>
        <w:t>prueba piloto</w:t>
      </w:r>
      <w:r>
        <w:rPr/>
        <w:t xml:space="preserve">. En consecuencia, dicho informe </w:t>
      </w:r>
      <w:r>
        <w:rPr>
          <w:b/>
          <w:bCs/>
        </w:rPr>
        <w:t>no debe considerarse un documento soporte ante un OEC</w:t>
      </w:r>
      <w:r>
        <w:rPr/>
        <w:t xml:space="preserve"> como evidencia de participación en un ensayo de aptitud o comparación interlaboratorio, ni sustituye la documentación formal que se emita en la operación regular del esquema.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2"/>
        <w:rPr/>
      </w:pPr>
      <w:bookmarkStart w:id="4" w:name="qué-se-mide"/>
      <w:r>
        <w:rPr/>
        <w:t>3. ¿Qué se mide?</w:t>
      </w:r>
    </w:p>
    <w:p>
      <w:pPr>
        <w:pStyle w:val="FirstParagraph"/>
        <w:rPr/>
      </w:pPr>
      <w:r>
        <w:rPr/>
        <w:t xml:space="preserve">Se evaluarán los </w:t>
      </w:r>
      <w:r>
        <w:rPr>
          <w:b/>
          <w:bCs/>
        </w:rPr>
        <w:t>cuatro gases contaminantes criterio</w:t>
      </w:r>
      <w:r>
        <w:rPr/>
        <w:t xml:space="preserve"> más relevantes para la vigilancia de la calidad del aire: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Gas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Símbolo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Unidades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Ozono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O₃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nmol/mol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Monóxido de Nitrógeno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nmol/mol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Dióxido de Nitrógeno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NO₂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nmol/mol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Dióxido de Azufre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SO₂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nmol/mol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Monóxido de Carbono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µmol/mol</w:t>
            </w:r>
          </w:p>
        </w:tc>
      </w:tr>
    </w:tbl>
    <w:p>
      <w:pPr>
        <w:pStyle w:val="BodyText"/>
        <w:rPr/>
      </w:pPr>
      <w:r>
        <w:rPr/>
        <w:t xml:space="preserve">Para cada gas se generarán </w:t>
      </w:r>
      <w:r>
        <w:rPr>
          <w:b/>
          <w:bCs/>
        </w:rPr>
        <w:t>cinco niveles de concentración más un nivel cero</w:t>
      </w:r>
      <w:r>
        <w:rPr/>
        <w:t xml:space="preserve">, dentro de rangos relevantes para la vigilancia ambiental (0–500 nmol/mol para SO₂, NO, NO₂ y O₃; 0–10 µmol/mol para CO). Los niveles exactos están documentados en el </w:t>
      </w:r>
      <w:r>
        <w:rPr>
          <w:b/>
          <w:bCs/>
        </w:rPr>
        <w:t>Cronograma Detallado (F-PSEA-02)</w:t>
      </w:r>
      <w:r>
        <w:rPr/>
        <w:t xml:space="preserve"> que se adjunta.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X98bdd86542e83fc3c8982abdebe48933f1ea62d"/>
      <w:r>
        <w:rPr/>
        <w:t>4. ¿Cómo se genera la muestra que van a medir? (El Ítem de Ensayo)</w:t>
      </w:r>
    </w:p>
    <w:p>
      <w:pPr>
        <w:pStyle w:val="FirstParagraph"/>
        <w:rPr/>
      </w:pPr>
      <w:r>
        <w:rPr/>
        <w:t>Esta es la parte central del ejercicio y lo que lo diferencia de una calibración rutinaria. Queremos explicarlo con claridad para que entiendan exactamente qué van a medir y cómo se garantiza que la comparación sea justa.</w:t>
      </w:r>
    </w:p>
    <w:p>
      <w:pPr>
        <w:pStyle w:val="Heading3"/>
        <w:rPr/>
      </w:pPr>
      <w:bookmarkStart w:id="6" w:name="el-concepto"/>
      <w:r>
        <w:rPr/>
        <w:t>El concepto</w:t>
      </w:r>
    </w:p>
    <w:p>
      <w:pPr>
        <w:pStyle w:val="FirstParagraph"/>
        <w:rPr/>
      </w:pPr>
      <w:r>
        <w:rPr/>
        <w:t xml:space="preserve">El </w:t>
      </w:r>
      <w:r>
        <w:rPr>
          <w:b/>
          <w:bCs/>
        </w:rPr>
        <w:t>ítem de ensayo</w:t>
      </w:r>
      <w:r>
        <w:rPr/>
        <w:t xml:space="preserve"> (la “muestra” que miden los analizadores) es una </w:t>
      </w:r>
      <w:r>
        <w:rPr>
          <w:b/>
          <w:bCs/>
        </w:rPr>
        <w:t>atmósfera de gas contaminante en aire cero</w:t>
      </w:r>
      <w:r>
        <w:rPr/>
        <w:t xml:space="preserve">, generada dinámicamente por el Laboratorio CALAIRE. No es un cilindro que se reparte: es un flujo continuo de gas a una concentración conocida que se distribuye </w:t>
      </w:r>
      <w:r>
        <w:rPr>
          <w:b/>
          <w:bCs/>
        </w:rPr>
        <w:t>simultáneamente</w:t>
      </w:r>
      <w:r>
        <w:rPr/>
        <w:t xml:space="preserve"> a todos los analizadores conectados.</w:t>
      </w:r>
      <w:bookmarkEnd w:id="6"/>
    </w:p>
    <w:p>
      <w:pPr>
        <w:pStyle w:val="Heading3"/>
        <w:rPr/>
      </w:pPr>
      <w:bookmarkStart w:id="7" w:name="cómo-se-genera-cada-gas"/>
      <w:r>
        <w:rPr/>
        <w:t>¿Cómo se genera cada gas?</w:t>
      </w:r>
    </w:p>
    <w:p>
      <w:pPr>
        <w:pStyle w:val="FirstParagraph"/>
        <w:rPr/>
      </w:pPr>
      <w:r>
        <w:rPr/>
        <w:t>La generación depende del tipo de contaminante:</w:t>
      </w:r>
    </w:p>
    <w:p>
      <w:pPr>
        <w:pStyle w:val="BodyText"/>
        <w:rPr/>
      </w:pPr>
      <w:r>
        <w:rPr>
          <w:b/>
          <w:bCs/>
        </w:rPr>
        <w:t>Para SO₂, CO, NO y NO₂:</w:t>
      </w:r>
    </w:p>
    <w:p>
      <w:pPr>
        <w:pStyle w:val="Compact"/>
        <w:numPr>
          <w:ilvl w:val="0"/>
          <w:numId w:val="14"/>
        </w:numPr>
        <w:rPr/>
      </w:pPr>
      <w:r>
        <w:rPr/>
        <w:t xml:space="preserve">Se parte de un </w:t>
      </w:r>
      <w:r>
        <w:rPr>
          <w:b/>
          <w:bCs/>
        </w:rPr>
        <w:t>cilindro de Material de Referencia Certificado (MRC)</w:t>
      </w:r>
      <w:r>
        <w:rPr/>
        <w:t xml:space="preserve"> — un gas patrón con concentración conocida y trazabilidad metrológica internacional.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Un </w:t>
      </w:r>
      <w:r>
        <w:rPr>
          <w:b/>
          <w:bCs/>
        </w:rPr>
        <w:t>calibrador dinámico</w:t>
      </w:r>
      <w:r>
        <w:rPr/>
        <w:t xml:space="preserve"> mezcla ese gas patrón con </w:t>
      </w:r>
      <w:r>
        <w:rPr>
          <w:b/>
          <w:bCs/>
        </w:rPr>
        <w:t>aire cero</w:t>
      </w:r>
      <w:r>
        <w:rPr/>
        <w:t xml:space="preserve"> (aire limpio, libre de contaminantes) en proporciones precisas.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Al variar la proporción de dilución, se generan los diferentes </w:t>
      </w:r>
      <w:r>
        <w:rPr>
          <w:b/>
          <w:bCs/>
        </w:rPr>
        <w:t>niveles de concentración</w:t>
      </w:r>
      <w:r>
        <w:rPr/>
        <w:t xml:space="preserve"> del ensayo (desde cero hasta el nivel más alto).</w:t>
      </w:r>
    </w:p>
    <w:p>
      <w:pPr>
        <w:pStyle w:val="FirstParagraph"/>
        <w:rPr/>
      </w:pPr>
      <w:r>
        <w:rPr>
          <w:b/>
          <w:bCs/>
        </w:rPr>
        <w:t>Para Ozono (O₃):</w:t>
      </w:r>
    </w:p>
    <w:p>
      <w:pPr>
        <w:pStyle w:val="Compact"/>
        <w:numPr>
          <w:ilvl w:val="0"/>
          <w:numId w:val="15"/>
        </w:numPr>
        <w:rPr/>
      </w:pPr>
      <w:r>
        <w:rPr/>
        <w:t xml:space="preserve">Se utiliza un </w:t>
      </w:r>
      <w:r>
        <w:rPr>
          <w:b/>
          <w:bCs/>
        </w:rPr>
        <w:t>generador de ozono</w:t>
      </w:r>
      <w:r>
        <w:rPr/>
        <w:t xml:space="preserve"> que produce O₃ a partir de aire u oxígeno mediante descarga UV.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La concentración generada se mide y controla con un </w:t>
      </w:r>
      <w:r>
        <w:rPr>
          <w:b/>
          <w:bCs/>
        </w:rPr>
        <w:t>fotómetro de referencia nivel 2</w:t>
      </w:r>
      <w:r>
        <w:rPr/>
        <w:t>, que es el instrumento de referencia en la cadena de trazabilidad internacional de ozono.</w:t>
      </w:r>
    </w:p>
    <w:p>
      <w:pPr>
        <w:pStyle w:val="Compact"/>
        <w:numPr>
          <w:ilvl w:val="0"/>
          <w:numId w:val="2"/>
        </w:numPr>
        <w:rPr/>
      </w:pPr>
      <w:r>
        <w:rPr/>
        <w:t>Al ajustar la potencia del generador, se obtienen los distintos niveles de concentración.</w:t>
      </w:r>
      <w:bookmarkEnd w:id="7"/>
    </w:p>
    <w:p>
      <w:pPr>
        <w:pStyle w:val="Heading3"/>
        <w:rPr/>
      </w:pPr>
      <w:bookmarkStart w:id="8" w:name="cómo-se-asegura-que-todos-midan-lo-mismo"/>
      <w:r>
        <w:rPr/>
        <w:t>¿Cómo se asegura que todos midan lo mismo?</w:t>
      </w:r>
    </w:p>
    <w:p>
      <w:pPr>
        <w:pStyle w:val="FirstParagraph"/>
        <w:rPr/>
      </w:pPr>
      <w:r>
        <w:rPr/>
        <w:t xml:space="preserve">Una vez generada la atmósfera de gas a la concentración deseada, esta se alimenta a un </w:t>
      </w:r>
      <w:r>
        <w:rPr>
          <w:b/>
          <w:bCs/>
        </w:rPr>
        <w:t>manifold de distribución de vidrio</w:t>
      </w:r>
      <w:r>
        <w:rPr/>
        <w:t>. El vidrio es un material inerte — no reacciona ni absorbe los gases — lo que garantiza que la muestra no se contamine ni se altere.</w:t>
      </w:r>
    </w:p>
    <w:p>
      <w:pPr>
        <w:pStyle w:val="BodyText"/>
        <w:rPr/>
      </w:pPr>
      <w:r>
        <w:rPr/>
        <w:t xml:space="preserve">Del manifold salen </w:t>
      </w:r>
      <w:r>
        <w:rPr>
          <w:b/>
          <w:bCs/>
        </w:rPr>
        <w:t>líneas individuales de teflón</w:t>
      </w:r>
      <w:r>
        <w:rPr/>
        <w:t xml:space="preserve"> (también inerte) hacia cada puesto de medición. Todos los analizadores reciben la misma muestra, al mismo tiempo, a la misma concentración. El sistema opera con un ligero exceso de flujo para evitar contrapresión en las líneas.</w:t>
      </w:r>
    </w:p>
    <w:p>
      <w:pPr>
        <w:pStyle w:val="BlockText"/>
        <w:rPr/>
      </w:pPr>
      <w:r>
        <w:rPr>
          <w:b/>
          <w:bCs/>
        </w:rPr>
        <w:t>En resumen:</w:t>
      </w:r>
      <w:r>
        <w:rPr/>
        <w:t xml:space="preserve"> CALAIRE genera una concentración conocida y trazable → la distribuye por igual a todos los analizadores → cada laboratorio mide con su propio equipo y procedimiento → se comparan los resultados. Si un analizador lee algo distinto, la diferencia está en el equipo o procedimiento del participante, no en la muestra.</w:t>
      </w:r>
      <w:bookmarkEnd w:id="8"/>
    </w:p>
    <w:p>
      <w:pPr>
        <w:pStyle w:val="Heading3"/>
        <w:rPr/>
      </w:pPr>
      <w:bookmarkStart w:id="9" w:name="homogeneidad-y-estabilidad"/>
      <w:r>
        <w:rPr/>
        <w:t>Homogeneidad y estabilidad</w:t>
      </w:r>
    </w:p>
    <w:p>
      <w:pPr>
        <w:pStyle w:val="FirstParagraph"/>
        <w:rPr/>
      </w:pPr>
      <w:r>
        <w:rPr/>
        <w:t>Antes de iniciar las mediciones con participantes, CALAIRE verifica que: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Homogeneidad:</w:t>
      </w:r>
      <w:r>
        <w:rPr/>
        <w:t xml:space="preserve"> Todas las salidas del manifold entregan la misma concentración (la variación entre líneas debe ser menor a 0,3 veces la desviación estándar de aptitud, σpt).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Estabilidad:</w:t>
      </w:r>
      <w:r>
        <w:rPr/>
        <w:t xml:space="preserve"> La concentración se mantiene constante durante todo el tiempo de medición de cada nivel.</w:t>
      </w:r>
    </w:p>
    <w:p>
      <w:pPr>
        <w:pStyle w:val="FirstParagraph"/>
        <w:rPr/>
      </w:pPr>
      <w:r>
        <w:rPr/>
        <w:t xml:space="preserve">Estas pruebas se realizan conforme a la norma </w:t>
      </w:r>
      <w:r>
        <w:rPr>
          <w:b/>
          <w:bCs/>
        </w:rPr>
        <w:t>ISO 13528:2022</w:t>
      </w:r>
      <w:r>
        <w:rPr/>
        <w:t xml:space="preserve"> y quedan documentadas.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  <w:bookmarkEnd w:id="9"/>
    </w:p>
    <w:p>
      <w:pPr>
        <w:pStyle w:val="Heading2"/>
        <w:rPr/>
      </w:pPr>
      <w:bookmarkStart w:id="10" w:name="cómo-se-desarrolla-una-ronda-día-a-día"/>
      <w:r>
        <w:rPr/>
        <w:t>5. ¿Cómo se desarrolla una ronda? (Día a día)</w:t>
      </w:r>
    </w:p>
    <w:p>
      <w:pPr>
        <w:pStyle w:val="FirstParagraph"/>
        <w:rPr/>
      </w:pPr>
      <w:r>
        <w:rPr/>
        <w:t xml:space="preserve">Cada ronda sigue un ciclo semanal en el </w:t>
      </w:r>
      <w:r>
        <w:rPr>
          <w:b/>
          <w:bCs/>
        </w:rPr>
        <w:t>Laboratorio CALAIRE</w:t>
      </w:r>
      <w:r>
        <w:rPr/>
        <w:t xml:space="preserve"> (Bloque 19A, 4º piso/azotea, Campus El Volador, Universidad Nacional de Colombia, Sede Medellín, Cra 65 No 59A-110):</w:t>
      </w:r>
    </w:p>
    <w:p>
      <w:pPr>
        <w:pStyle w:val="Heading3"/>
        <w:rPr/>
      </w:pPr>
      <w:bookmarkStart w:id="11" w:name="X3b69e2e07e57f2f452ccad115f48fce32713198"/>
      <w:r>
        <w:rPr/>
        <w:t>Día 1 — Lunes: Recepción, Instalación y Aclimatación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Hora de llegada: 08:00 a.m.</w:t>
      </w:r>
      <w:r>
        <w:rPr/>
        <w:t xml:space="preserve"> (es importante ser puntuales para no retrasar el cronograma de la ronda).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Cada laboratorio instala su equipo en el </w:t>
      </w:r>
      <w:r>
        <w:rPr>
          <w:b/>
          <w:bCs/>
        </w:rPr>
        <w:t>salón contiguo</w:t>
      </w:r>
      <w:r>
        <w:rPr/>
        <w:t xml:space="preserve"> al laboratorio principal, en el puesto asignado y etiquetado con su código.</w:t>
      </w:r>
    </w:p>
    <w:p>
      <w:pPr>
        <w:pStyle w:val="Compact"/>
        <w:numPr>
          <w:ilvl w:val="0"/>
          <w:numId w:val="1"/>
        </w:numPr>
        <w:rPr/>
      </w:pPr>
      <w:r>
        <w:rPr/>
        <w:t>El participante realiza sus conexiones eléctricas y de gases según su propio procedimiento interno (POE).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Se hacen las </w:t>
      </w:r>
      <w:r>
        <w:rPr>
          <w:b/>
          <w:bCs/>
        </w:rPr>
        <w:t>verificaciones pre-ensayo</w:t>
      </w:r>
      <w:r>
        <w:rPr/>
        <w:t>: estabilidad del equipo, verificación de fugas, tiempos de respuesta, registro correcto de datos.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Los equipos permanecen en </w:t>
      </w:r>
      <w:r>
        <w:rPr>
          <w:b/>
          <w:bCs/>
        </w:rPr>
        <w:t>aclimatación y estabilización</w:t>
      </w:r>
      <w:r>
        <w:rPr/>
        <w:t xml:space="preserve"> durante la jornada.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Al final del día, los equipos quedan </w:t>
      </w:r>
      <w:r>
        <w:rPr>
          <w:b/>
          <w:bCs/>
        </w:rPr>
        <w:t>encendidos y estabilizados</w:t>
      </w:r>
      <w:r>
        <w:rPr/>
        <w:t xml:space="preserve"> (condición continua) para garantizar repetibilidad al día siguiente.</w:t>
      </w:r>
    </w:p>
    <w:p>
      <w:pPr>
        <w:pStyle w:val="BlockText"/>
        <w:rPr/>
      </w:pPr>
      <w:r>
        <w:rPr>
          <w:b/>
          <w:bCs/>
        </w:rPr>
        <w:t>¿Por qué la aclimatación el primer día?</w:t>
      </w:r>
      <w:r>
        <w:rPr/>
        <w:t xml:space="preserve"> Porque queremos que cada laboratorio opere exactamente como lo haría en su rutina normal. El EA evalúa el desempeño completo: equipo + acondicionamiento + procedimiento.</w:t>
      </w:r>
      <w:bookmarkEnd w:id="11"/>
    </w:p>
    <w:p>
      <w:pPr>
        <w:pStyle w:val="Heading3"/>
        <w:rPr/>
      </w:pPr>
      <w:bookmarkStart w:id="12" w:name="día-2-martes-calibración"/>
      <w:r>
        <w:rPr/>
        <w:t>Día 2 — Martes: Calibración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Cada participante ejecuta su </w:t>
      </w:r>
      <w:r>
        <w:rPr>
          <w:b/>
          <w:bCs/>
        </w:rPr>
        <w:t>calibración multipunto</w:t>
      </w:r>
      <w:r>
        <w:rPr/>
        <w:t xml:space="preserve"> (cero, span y puntos intermedios) de acuerdo con su procedimiento interno vigente.</w:t>
      </w:r>
    </w:p>
    <w:p>
      <w:pPr>
        <w:pStyle w:val="Compact"/>
        <w:numPr>
          <w:ilvl w:val="0"/>
          <w:numId w:val="1"/>
        </w:numPr>
        <w:rPr/>
      </w:pPr>
      <w:r>
        <w:rPr/>
        <w:t>Se revisan los criterios de estabilidad, respuesta y ajuste antes del inicio de las mediciones.</w:t>
      </w:r>
    </w:p>
    <w:p>
      <w:pPr>
        <w:pStyle w:val="Compact"/>
        <w:numPr>
          <w:ilvl w:val="0"/>
          <w:numId w:val="1"/>
        </w:numPr>
        <w:rPr/>
      </w:pPr>
      <w:r>
        <w:rPr/>
        <w:t>Al final de la jornada, los equipos permanecen en condición estable para iniciar la secuencia de ensayo.</w:t>
      </w:r>
      <w:bookmarkEnd w:id="12"/>
    </w:p>
    <w:p>
      <w:pPr>
        <w:pStyle w:val="Heading3"/>
        <w:rPr/>
      </w:pPr>
      <w:bookmarkStart w:id="13" w:name="días-3-a-5-miércoles-a-viernes-medición"/>
      <w:r>
        <w:rPr/>
        <w:t>Días 3 a 5 — Miércoles a Viernes: Medición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Cada participante traslada su analizador al </w:t>
      </w:r>
      <w:r>
        <w:rPr>
          <w:b/>
          <w:bCs/>
        </w:rPr>
        <w:t>laboratorio principal</w:t>
      </w:r>
      <w:r>
        <w:rPr/>
        <w:t xml:space="preserve"> y lo instala en el rack designado, bajo supervisión del equipo técnico de CALAIRE.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Los analizadores se conectan al </w:t>
      </w:r>
      <w:r>
        <w:rPr>
          <w:b/>
          <w:bCs/>
        </w:rPr>
        <w:t>manifold de distribución</w:t>
      </w:r>
      <w:r>
        <w:rPr/>
        <w:t xml:space="preserve"> a través del puerto de teflón 1/4” asignado.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Comienza la secuencia de medición, </w:t>
      </w:r>
      <w:r>
        <w:rPr>
          <w:b/>
          <w:bCs/>
        </w:rPr>
        <w:t>gas por gas</w:t>
      </w:r>
      <w:r>
        <w:rPr/>
        <w:t>, siguiendo el cronograma F-PSEA-02:</w:t>
      </w:r>
    </w:p>
    <w:p>
      <w:pPr>
        <w:pStyle w:val="Compact"/>
        <w:numPr>
          <w:ilvl w:val="1"/>
          <w:numId w:val="16"/>
        </w:numPr>
        <w:rPr/>
      </w:pPr>
      <w:r>
        <w:rPr/>
        <w:t xml:space="preserve">El operador de CALAIRE genera el </w:t>
      </w:r>
      <w:r>
        <w:rPr>
          <w:b/>
          <w:bCs/>
        </w:rPr>
        <w:t>primer nivel de concentración</w:t>
      </w:r>
      <w:r>
        <w:rPr/>
        <w:t xml:space="preserve"> del primer gas (típicamente O₃).</w:t>
      </w:r>
    </w:p>
    <w:p>
      <w:pPr>
        <w:pStyle w:val="Compact"/>
        <w:numPr>
          <w:ilvl w:val="1"/>
          <w:numId w:val="2"/>
        </w:numPr>
        <w:rPr/>
      </w:pPr>
      <w:r>
        <w:rPr/>
        <w:t xml:space="preserve">Los analizadores censan esa concentración durante el tiempo establecido (1 </w:t>
      </w:r>
      <w:r>
        <w:rPr/>
        <w:t>hora para el cero, para los demás niveles 3</w:t>
      </w:r>
      <w:r>
        <w:rPr/>
        <w:t xml:space="preserve"> horas).</w:t>
      </w:r>
    </w:p>
    <w:p>
      <w:pPr>
        <w:pStyle w:val="Compact"/>
        <w:numPr>
          <w:ilvl w:val="1"/>
          <w:numId w:val="2"/>
        </w:numPr>
        <w:rPr/>
      </w:pPr>
      <w:r>
        <w:rPr/>
        <w:t>Se pasa al siguiente nivel de concentración, y así sucesivamente hasta completar los 5 niveles + cero.</w:t>
      </w:r>
    </w:p>
    <w:p>
      <w:pPr>
        <w:pStyle w:val="Compact"/>
        <w:numPr>
          <w:ilvl w:val="1"/>
          <w:numId w:val="2"/>
        </w:numPr>
        <w:rPr/>
      </w:pPr>
      <w:r>
        <w:rPr/>
        <w:t>La ventana de transición entre cada nivel es de aproximadamente 15 minutos.</w:t>
      </w:r>
    </w:p>
    <w:p>
      <w:pPr>
        <w:pStyle w:val="Compact"/>
        <w:numPr>
          <w:ilvl w:val="1"/>
          <w:numId w:val="2"/>
        </w:numPr>
        <w:rPr/>
      </w:pPr>
      <w:r>
        <w:rPr/>
        <w:t xml:space="preserve">Al terminar un gas, los participantes </w:t>
      </w:r>
      <w:r>
        <w:rPr>
          <w:b/>
          <w:bCs/>
        </w:rPr>
        <w:t>descargan los datos</w:t>
      </w:r>
      <w:r>
        <w:rPr/>
        <w:t xml:space="preserve"> de su instrumento y los entregan al equipo organizador.</w:t>
      </w:r>
    </w:p>
    <w:p>
      <w:pPr>
        <w:pStyle w:val="Compact"/>
        <w:numPr>
          <w:ilvl w:val="1"/>
          <w:numId w:val="2"/>
        </w:numPr>
        <w:rPr/>
      </w:pPr>
      <w:r>
        <w:rPr/>
        <w:t xml:space="preserve">Se prepara la conexión para el </w:t>
      </w:r>
      <w:r>
        <w:rPr>
          <w:b/>
          <w:bCs/>
        </w:rPr>
        <w:t>siguiente gas</w:t>
      </w:r>
      <w:r>
        <w:rPr/>
        <w:t xml:space="preserve"> (O₃ → NO → NO₂ → SO₂/CO) y se repite el ciclo.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Los analizadores </w:t>
      </w:r>
      <w:r>
        <w:rPr>
          <w:b/>
          <w:bCs/>
        </w:rPr>
        <w:t>permanecen encendidos entre días</w:t>
      </w:r>
      <w:r>
        <w:rPr/>
        <w:t xml:space="preserve"> para mantener estabilidad.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Cada laboratorio registra </w:t>
      </w:r>
      <w:r>
        <w:rPr>
          <w:b/>
          <w:bCs/>
        </w:rPr>
        <w:t>datos minutales</w:t>
      </w:r>
      <w:r>
        <w:rPr/>
        <w:t xml:space="preserve"> continuos y consolida el </w:t>
      </w:r>
      <w:r>
        <w:rPr>
          <w:b/>
          <w:bCs/>
        </w:rPr>
        <w:t>promedio horario</w:t>
      </w:r>
      <w:r>
        <w:rPr/>
        <w:t xml:space="preserve"> por cada nivel.</w:t>
      </w:r>
    </w:p>
    <w:p>
      <w:pPr>
        <w:pStyle w:val="BlockText"/>
        <w:rPr/>
      </w:pPr>
      <w:r>
        <w:rPr>
          <w:b/>
          <w:bCs/>
        </w:rPr>
        <w:t>Secuencia típica de gases:</w:t>
      </w:r>
      <w:r>
        <w:rPr/>
        <w:t xml:space="preserve"> O₃, NO, NO₂, SO₂ y CO durante los días de medición. Los tiempos exactos dependen de la ronda.</w:t>
      </w:r>
    </w:p>
    <w:p>
      <w:pPr>
        <w:pStyle w:val="BlockText"/>
        <w:rPr/>
      </w:pPr>
      <w:r>
        <w:rPr>
          <w:b/>
          <w:bCs/>
        </w:rPr>
        <w:t>Nota operativa sobre fallas de instrumento:</w:t>
      </w:r>
      <w:r>
        <w:rPr/>
        <w:t xml:space="preserve"> si durante una corrida un instrumento presenta una falla técnica, la ronda </w:t>
      </w:r>
      <w:r>
        <w:rPr>
          <w:b/>
          <w:bCs/>
        </w:rPr>
        <w:t>no se detiene</w:t>
      </w:r>
      <w:r>
        <w:rPr/>
        <w:t xml:space="preserve">. En ese caso, la participación del laboratorio se considera </w:t>
      </w:r>
      <w:r>
        <w:rPr>
          <w:b/>
          <w:bCs/>
        </w:rPr>
        <w:t xml:space="preserve">perdida para </w:t>
      </w:r>
      <w:r>
        <w:rPr>
          <w:b/>
          <w:bCs/>
        </w:rPr>
        <w:t>el nivel/</w:t>
      </w:r>
      <w:r>
        <w:rPr>
          <w:b/>
          <w:bCs/>
        </w:rPr>
        <w:t>la corrida afectada</w:t>
      </w:r>
      <w:r>
        <w:rPr/>
        <w:t xml:space="preserve"> y, según el momento de ocurrencia, la pérdida puede aplicar para </w:t>
      </w:r>
      <w:r>
        <w:rPr>
          <w:b/>
          <w:bCs/>
        </w:rPr>
        <w:t>toda la participación en ese contaminante</w:t>
      </w:r>
      <w:r>
        <w:rPr/>
        <w:t xml:space="preserve"> dentro de la ronda correspondiente. El laboratorio asume la continuidad del cronograma general</w:t>
      </w:r>
      <w:bookmarkEnd w:id="13"/>
      <w:r>
        <w:rPr/>
        <w:t>-</w:t>
      </w:r>
    </w:p>
    <w:p>
      <w:pPr>
        <w:pStyle w:val="Heading3"/>
        <w:bidi w:val="0"/>
        <w:rPr/>
      </w:pPr>
      <w:bookmarkStart w:id="14" w:name="cierre-viernes-recolección"/>
      <w:r>
        <w:rPr/>
        <w:t>Cierre — Viernes: Recolección</w:t>
      </w:r>
    </w:p>
    <w:p>
      <w:pPr>
        <w:pStyle w:val="Compact"/>
        <w:numPr>
          <w:ilvl w:val="0"/>
          <w:numId w:val="1"/>
        </w:numPr>
        <w:rPr/>
      </w:pPr>
      <w:r>
        <w:rPr/>
        <w:t>Cada participante desmonta y embala sus equipos de forma segura.</w:t>
      </w:r>
    </w:p>
    <w:p>
      <w:pPr>
        <w:pStyle w:val="Compact"/>
        <w:numPr>
          <w:ilvl w:val="0"/>
          <w:numId w:val="1"/>
        </w:numPr>
        <w:rPr/>
      </w:pPr>
      <w:r>
        <w:rPr/>
        <w:t>Se limpia el área para la siguiente ronda.</w:t>
      </w:r>
      <w:bookmarkEnd w:id="14"/>
    </w:p>
    <w:p>
      <w:pPr>
        <w:pStyle w:val="Heading3"/>
        <w:rPr/>
      </w:pPr>
      <w:bookmarkStart w:id="15" w:name="medidas-anti-colusión"/>
      <w:r>
        <w:rPr/>
        <w:t>Medidas anti-colusión</w:t>
      </w:r>
    </w:p>
    <w:p>
      <w:pPr>
        <w:pStyle w:val="FirstParagraph"/>
        <w:rPr/>
      </w:pPr>
      <w:r>
        <w:rPr/>
        <w:t xml:space="preserve">Para garantizar la imparcialidad del ensayo: - Se asigna un </w:t>
      </w:r>
      <w:r>
        <w:rPr>
          <w:b/>
          <w:bCs/>
        </w:rPr>
        <w:t>código único</w:t>
      </w:r>
      <w:r>
        <w:rPr/>
        <w:t xml:space="preserve"> a cada laboratorio; durante las mediciones no se comparten identidades. - Se restringe la </w:t>
      </w:r>
      <w:r>
        <w:rPr>
          <w:b/>
          <w:bCs/>
        </w:rPr>
        <w:t>visibilidad de pantallas/displays</w:t>
      </w:r>
      <w:r>
        <w:rPr/>
        <w:t xml:space="preserve"> entre participantes. - Cada participante </w:t>
      </w:r>
      <w:r>
        <w:rPr/>
        <w:t>acepta</w:t>
      </w:r>
      <w:r>
        <w:rPr/>
        <w:t xml:space="preserve"> un </w:t>
      </w:r>
      <w:r>
        <w:rPr>
          <w:b/>
          <w:bCs/>
        </w:rPr>
        <w:t>acuerdo de confidencialidad y no confabulación</w:t>
      </w:r>
      <w:r>
        <w:rPr/>
        <w:t xml:space="preserve"> antes de iniciar.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  <w:bookmarkEnd w:id="15"/>
    </w:p>
    <w:p>
      <w:pPr>
        <w:pStyle w:val="Heading2"/>
        <w:rPr/>
      </w:pPr>
      <w:bookmarkStart w:id="16" w:name="qué-equipos-deben-traer"/>
      <w:r>
        <w:rPr/>
        <w:t>6. ¿Qué equipos deben traer?</w:t>
      </w:r>
    </w:p>
    <w:p>
      <w:pPr>
        <w:pStyle w:val="FirstParagraph"/>
        <w:rPr/>
      </w:pPr>
      <w:r>
        <w:rPr/>
        <w:t xml:space="preserve">Cada laboratorio participante debe contar con su </w:t>
      </w:r>
      <w:r>
        <w:rPr>
          <w:b/>
          <w:bCs/>
        </w:rPr>
        <w:t>sistema de medición completo</w:t>
      </w:r>
      <w:r>
        <w:rPr/>
        <w:t>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926"/>
        <w:gridCol w:w="4434"/>
      </w:tblGrid>
      <w:tr>
        <w:trPr>
          <w:tblHeader w:val="true"/>
        </w:trPr>
        <w:tc>
          <w:tcPr>
            <w:tcW w:w="492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Elemento</w:t>
            </w:r>
          </w:p>
        </w:tc>
        <w:tc>
          <w:tcPr>
            <w:tcW w:w="443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Detalle</w:t>
            </w:r>
          </w:p>
        </w:tc>
      </w:tr>
      <w:tr>
        <w:trPr/>
        <w:tc>
          <w:tcPr>
            <w:tcW w:w="49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Analizador de gases</w:t>
            </w:r>
          </w:p>
        </w:tc>
        <w:tc>
          <w:tcPr>
            <w:tcW w:w="44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Específico para el/los mensurando(s) de interés</w:t>
            </w:r>
          </w:p>
        </w:tc>
      </w:tr>
      <w:tr>
        <w:trPr/>
        <w:tc>
          <w:tcPr>
            <w:tcW w:w="49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Calibrador dinámico</w:t>
            </w:r>
          </w:p>
        </w:tc>
        <w:tc>
          <w:tcPr>
            <w:tcW w:w="44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 calibración vigente (incluido fotómetro si aplica)</w:t>
            </w:r>
          </w:p>
        </w:tc>
      </w:tr>
      <w:tr>
        <w:trPr/>
        <w:tc>
          <w:tcPr>
            <w:tcW w:w="49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Sistema de aire cero</w:t>
            </w:r>
          </w:p>
        </w:tc>
        <w:tc>
          <w:tcPr>
            <w:tcW w:w="44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Generador o cilindro de aire cero</w:t>
            </w:r>
          </w:p>
        </w:tc>
      </w:tr>
      <w:tr>
        <w:trPr/>
        <w:tc>
          <w:tcPr>
            <w:tcW w:w="49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Generador de ozono</w:t>
            </w:r>
          </w:p>
        </w:tc>
        <w:tc>
          <w:tcPr>
            <w:tcW w:w="44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 fotómetro nivel 2 para trazabilidad (si mide O₃)</w:t>
            </w:r>
          </w:p>
        </w:tc>
      </w:tr>
      <w:tr>
        <w:trPr/>
        <w:tc>
          <w:tcPr>
            <w:tcW w:w="49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Cilindro de gas patrón</w:t>
            </w:r>
          </w:p>
        </w:tc>
        <w:tc>
          <w:tcPr>
            <w:tcW w:w="44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 certificado vigente, regulador doble tapa y conectores</w:t>
            </w:r>
          </w:p>
        </w:tc>
      </w:tr>
      <w:tr>
        <w:trPr/>
        <w:tc>
          <w:tcPr>
            <w:tcW w:w="49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Sistema de adquisición de datos</w:t>
            </w:r>
          </w:p>
        </w:tc>
        <w:tc>
          <w:tcPr>
            <w:tcW w:w="44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Datalogger o computador con software de exportación</w:t>
            </w:r>
          </w:p>
        </w:tc>
      </w:tr>
      <w:tr>
        <w:trPr/>
        <w:tc>
          <w:tcPr>
            <w:tcW w:w="49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Conexiones y accesorios</w:t>
            </w:r>
          </w:p>
        </w:tc>
        <w:tc>
          <w:tcPr>
            <w:tcW w:w="44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Mangueras, conectores, adaptadores para su sistema</w:t>
            </w:r>
          </w:p>
        </w:tc>
      </w:tr>
      <w:tr>
        <w:trPr/>
        <w:tc>
          <w:tcPr>
            <w:tcW w:w="49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EPP</w:t>
            </w:r>
          </w:p>
        </w:tc>
        <w:tc>
          <w:tcPr>
            <w:tcW w:w="44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Guantes resistentes a químicos, calzado de seguridad, gafas protectoras, bata de laboratorio</w:t>
            </w:r>
          </w:p>
        </w:tc>
      </w:tr>
    </w:tbl>
    <w:p>
      <w:pPr>
        <w:pStyle w:val="BlockText"/>
        <w:rPr/>
      </w:pPr>
      <w:r>
        <w:rPr>
          <w:b/>
          <w:bCs/>
        </w:rPr>
        <w:t>Importante:</w:t>
      </w:r>
      <w:r>
        <w:rPr/>
        <w:t xml:space="preserve"> El Laboratorio CALAIRE </w:t>
      </w:r>
      <w:r>
        <w:rPr>
          <w:b/>
          <w:bCs/>
        </w:rPr>
        <w:t>no suministra</w:t>
      </w:r>
      <w:r>
        <w:rPr/>
        <w:t xml:space="preserve"> consumibles, repuestos ni EPP. Cada participante es responsable de traer todo lo necesario para operar su sistema.</w:t>
      </w:r>
    </w:p>
    <w:p>
      <w:pPr>
        <w:pStyle w:val="FirstParagraph"/>
        <w:rPr/>
      </w:pPr>
      <w:r>
        <w:rPr>
          <w:b/>
          <w:bCs/>
        </w:rPr>
        <w:t>Lo que CALAIRE proporciona:</w:t>
      </w:r>
      <w:r>
        <w:rPr/>
        <w:t xml:space="preserve"> - Espacio de trabajo etiquetado con clima controlado - Suministro eléctrico regulado (110V AC, regleta con mínimo 4 tomas por puesto) - Puerto de conexión de 1/4” en teflón al manifold de distribución - Sistema completo de generación y distribución de mezclas gaseosas (MRC, calibrador, manifold)</w:t>
      </w:r>
    </w:p>
    <w:p>
      <w:pPr>
        <w:pStyle w:val="BodyText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"/>
    </w:p>
    <w:p>
      <w:pPr>
        <w:pStyle w:val="Heading2"/>
        <w:rPr/>
      </w:pPr>
      <w:bookmarkStart w:id="17" w:name="cómo-se-reportan-los-resultados"/>
      <w:r>
        <w:rPr/>
        <w:t>7. ¿Cómo se reportan los resultados?</w:t>
      </w:r>
    </w:p>
    <w:p>
      <w:pPr>
        <w:pStyle w:val="FirstParagraph"/>
        <w:rPr/>
      </w:pPr>
      <w:r>
        <w:rPr/>
        <w:t>Al finalizar cada bloque de medición por contaminante, cada laboratorio debe entregar: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Promedios horarios</w:t>
      </w:r>
      <w:r>
        <w:rPr/>
        <w:t xml:space="preserve"> para cada nivel de concentración, reportados con </w:t>
      </w:r>
      <w:r>
        <w:rPr>
          <w:b/>
          <w:bCs/>
        </w:rPr>
        <w:t>tres (3) cifras decimales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Datos crudos minutales</w:t>
      </w:r>
      <w:r>
        <w:rPr/>
        <w:t xml:space="preserve"> exportados directamente desde los analizadores (el formato específico se indicará antes de la ronda).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Incertidumbre de medición expandida</w:t>
      </w:r>
      <w:r>
        <w:rPr/>
        <w:t xml:space="preserve"> (con factor de cobertura k=2) para cada nivel de concentración evaluado.</w:t>
      </w:r>
    </w:p>
    <w:p>
      <w:pPr>
        <w:pStyle w:val="BlockText"/>
        <w:rPr/>
      </w:pPr>
      <w:r>
        <w:rPr/>
        <w:t xml:space="preserve">El reporte de la incertidumbre es </w:t>
      </w:r>
      <w:r>
        <w:rPr>
          <w:b/>
          <w:bCs/>
        </w:rPr>
        <w:t>obligatorio</w:t>
      </w:r>
      <w:r>
        <w:rPr/>
        <w:t xml:space="preserve">. Sin este dato no es posible calcular uno de los indicadores de desempeño (el En-score), lo que afectaría la evaluación. Los resultados finales consolidados deben enviarse al organizador </w:t>
      </w:r>
      <w:r>
        <w:rPr>
          <w:b/>
          <w:bCs/>
        </w:rPr>
        <w:t>dentro de los 15 días posteriores</w:t>
      </w:r>
      <w:r>
        <w:rPr/>
        <w:t xml:space="preserve"> a la finalización de las mediciones.</w:t>
      </w:r>
    </w:p>
    <w:p>
      <w:pPr>
        <w:pStyle w:val="BlockText"/>
        <w:rPr/>
      </w:pPr>
      <w:r>
        <w:rPr>
          <w:b/>
          <w:bCs/>
        </w:rPr>
        <w:t>Aclaración sobre el alcance del informe:</w:t>
      </w:r>
      <w:r>
        <w:rPr/>
        <w:t xml:space="preserve"> el informe de resultados de esta prueba piloto se emite con fines de validación interna del esquema y aprendizaje operativo. No constituye un certificado ni un informe de comparación interlaboratorio con validez para soportar por sí mismo la participación ante un OEC.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</w:p>
    <w:p>
      <w:pPr>
        <w:pStyle w:val="Heading2"/>
        <w:rPr/>
      </w:pPr>
      <w:bookmarkStart w:id="18" w:name="cómo-se-evalúa-el-desempeño"/>
      <w:r>
        <w:rPr/>
        <w:t>8. ¿Cómo se evalúa el desempeño?</w:t>
      </w:r>
    </w:p>
    <w:p>
      <w:pPr>
        <w:pStyle w:val="FirstParagraph"/>
        <w:rPr/>
      </w:pPr>
      <w:r>
        <w:rPr/>
        <w:t xml:space="preserve">Los resultados de cada laboratorio se comparan contra </w:t>
      </w:r>
      <w:r>
        <w:rPr>
          <w:b/>
          <w:bCs/>
        </w:rPr>
        <w:t>valores de referencia</w:t>
      </w:r>
      <w:r>
        <w:rPr/>
        <w:t xml:space="preserve"> determinados por CALAIRE. Estos valores son trazables a estándares internacionales: Materiales de Referencia Certificados (para SO₂, CO, NO, NO₂) y fotómetro de ozono nivel 2 (para O₃). No dependen del consenso de los participantes, lo que hace la evaluación robusta incluso con pocos laboratorios.</w:t>
      </w:r>
    </w:p>
    <w:p>
      <w:pPr>
        <w:pStyle w:val="BodyText"/>
        <w:rPr/>
      </w:pPr>
      <w:r>
        <w:rPr/>
        <w:t xml:space="preserve">La norma </w:t>
      </w:r>
      <w:r>
        <w:rPr>
          <w:b/>
          <w:bCs/>
        </w:rPr>
        <w:t>ISO 13528:2022</w:t>
      </w:r>
      <w:r>
        <w:rPr/>
        <w:t xml:space="preserve"> establece cuatro indicadores estadísticos de desempeño. La selección de cuál(es) se aplicarán en cada ronda se definirá conforme a los resultados obtenidos y las condiciones metrológicas del ensayo (particularmente, la magnitud de la incertidumbre del valor asignado respecto a la desviación estándar de aptitud). A continuación se explican los cuatro:</w:t>
      </w:r>
    </w:p>
    <w:p>
      <w:pPr>
        <w:pStyle w:val="Heading3"/>
        <w:rPr/>
      </w:pPr>
      <w:r>
        <w:rPr/>
        <w:t>1. Puntuación z (z-score)</w:t>
      </w:r>
    </w:p>
    <w:p>
      <w:pPr>
        <w:pStyle w:val="FirstParagraph"/>
        <w:rPr/>
      </w:pPr>
      <w:r>
        <w:rPr/>
        <w:t>Es el indicador más directo. Mide qué tan lejos está el resultado del participante respecto al valor de referencia, expresado en unidades de la desviación estándar de aptitud (σpt).</w:t>
      </w:r>
    </w:p>
    <w:p>
      <w:pPr>
        <w:pStyle w:val="BodyText"/>
        <w:rPr/>
      </w:pPr>
      <w:r>
        <w:rPr>
          <w:b/>
          <w:bCs/>
        </w:rPr>
        <w:t>Se utiliza cuando</w:t>
      </w:r>
      <w:r>
        <w:rPr/>
        <w:t xml:space="preserve"> la incertidumbre del valor asignado es despreciable — es decir, cuando u(xpt) ≤ 0,3·σpt. En ese caso, la referencia es tan precisa que la única fuente relevante de variación es el desempeño del participante.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59"/>
        <w:gridCol w:w="5401"/>
      </w:tblGrid>
      <w:tr>
        <w:trPr>
          <w:tblHeader w:val="true"/>
        </w:trPr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Resultado</w:t>
            </w:r>
          </w:p>
        </w:tc>
        <w:tc>
          <w:tcPr>
            <w:tcW w:w="540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Interpretación</w:t>
            </w:r>
          </w:p>
        </w:tc>
      </w:tr>
      <w:tr>
        <w:trPr/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|z| ≤ 2.0</w:t>
            </w:r>
          </w:p>
        </w:tc>
        <w:tc>
          <w:tcPr>
            <w:tcW w:w="54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Satisfactorio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El resultado está dentro del rango esperado</w:t>
            </w:r>
          </w:p>
        </w:tc>
      </w:tr>
      <w:tr>
        <w:trPr/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2.0 &lt; |z| &lt; 3.0</w:t>
            </w:r>
          </w:p>
        </w:tc>
        <w:tc>
          <w:tcPr>
            <w:tcW w:w="54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Señal de advertencia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Conviene revisar el proceso</w:t>
            </w:r>
          </w:p>
        </w:tc>
      </w:tr>
      <w:tr>
        <w:trPr/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|z| ≥ 3.0</w:t>
            </w:r>
          </w:p>
        </w:tc>
        <w:tc>
          <w:tcPr>
            <w:tcW w:w="54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No satisfactorio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Se requiere acción correctiva</w:t>
            </w:r>
            <w:bookmarkStart w:id="19" w:name="puntuación-z-z-score"/>
            <w:bookmarkEnd w:id="19"/>
          </w:p>
        </w:tc>
      </w:tr>
    </w:tbl>
    <w:p>
      <w:pPr>
        <w:pStyle w:val="Heading3"/>
        <w:rPr/>
      </w:pPr>
      <w:r>
        <w:rPr/>
        <w:t>2. Puntuación z’ (z’-score)</w:t>
      </w:r>
    </w:p>
    <w:p>
      <w:pPr>
        <w:pStyle w:val="FirstParagraph"/>
        <w:rPr/>
      </w:pPr>
      <w:r>
        <w:rPr/>
        <w:t xml:space="preserve">Es una variante del z-score que </w:t>
      </w:r>
      <w:r>
        <w:rPr>
          <w:b/>
          <w:bCs/>
        </w:rPr>
        <w:t>incorpora la incertidumbre del valor asignado</w:t>
      </w:r>
      <w:r>
        <w:rPr/>
        <w:t xml:space="preserve"> en el denominador. Se utiliza cuando esa incertidumbre </w:t>
      </w:r>
      <w:r>
        <w:rPr>
          <w:b/>
          <w:bCs/>
        </w:rPr>
        <w:t>no es despreciable</w:t>
      </w:r>
      <w:r>
        <w:rPr/>
        <w:t xml:space="preserve"> — es decir, cuando u(xpt) &gt; 0,3·σpt. Esto amplía ligeramente los límites de aceptación, reconociendo que parte de la diferencia observada puede deberse a la incertidumbre de la propia referencia y no solo al desempeño del participante.</w:t>
      </w:r>
    </w:p>
    <w:p>
      <w:pPr>
        <w:pStyle w:val="BodyText"/>
        <w:rPr/>
      </w:pPr>
      <w:r>
        <w:rPr/>
        <w:t>Los criterios de calificación son los mismos que para el z-score (|z’| ≤ 2.0 satisfactorio, etc.).</w:t>
      </w:r>
    </w:p>
    <w:p>
      <w:pPr>
        <w:pStyle w:val="Heading3"/>
        <w:rPr/>
      </w:pPr>
      <w:r>
        <w:rPr/>
        <w:t>3. Puntuación ζ (zeta-score)</w:t>
      </w:r>
    </w:p>
    <w:p>
      <w:pPr>
        <w:pStyle w:val="FirstParagraph"/>
        <w:rPr/>
      </w:pPr>
      <w:r>
        <w:rPr/>
        <w:t xml:space="preserve">A diferencia de z y z’, el zeta-score </w:t>
      </w:r>
      <w:r>
        <w:rPr>
          <w:b/>
          <w:bCs/>
        </w:rPr>
        <w:t>no usa σpt</w:t>
      </w:r>
      <w:r>
        <w:rPr/>
        <w:t xml:space="preserve">. En su lugar, evalúa la diferencia entre el resultado del participante y el valor de referencia considerando </w:t>
      </w:r>
      <w:r>
        <w:rPr>
          <w:b/>
          <w:bCs/>
        </w:rPr>
        <w:t>las incertidumbres declaradas por ambos</w:t>
      </w:r>
      <w:r>
        <w:rPr/>
        <w:t>: la del participante u(xi) y la del valor asignado u(xpt).</w:t>
      </w:r>
    </w:p>
    <w:p>
      <w:pPr>
        <w:pStyle w:val="BodyText"/>
        <w:rPr/>
      </w:pPr>
      <w:r>
        <w:rPr/>
        <w:t xml:space="preserve">Es un indicador más exigente porque pone a prueba no solo si el resultado es cercano al valor de referencia, sino también si la </w:t>
      </w:r>
      <w:r>
        <w:rPr>
          <w:b/>
          <w:bCs/>
        </w:rPr>
        <w:t>incertidumbre que el participante declara es realista</w:t>
      </w:r>
      <w:r>
        <w:rPr/>
        <w:t>. Un laboratorio que reporta una incertidumbre muy pequeña pero se desvía del valor de referencia obtendrá un zeta-score alto.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59"/>
        <w:gridCol w:w="5401"/>
      </w:tblGrid>
      <w:tr>
        <w:trPr>
          <w:tblHeader w:val="true"/>
        </w:trPr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Resultado</w:t>
            </w:r>
          </w:p>
        </w:tc>
        <w:tc>
          <w:tcPr>
            <w:tcW w:w="540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Interpretación</w:t>
            </w:r>
          </w:p>
        </w:tc>
      </w:tr>
      <w:tr>
        <w:trPr/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|ζ| ≤ 2.0</w:t>
            </w:r>
          </w:p>
        </w:tc>
        <w:tc>
          <w:tcPr>
            <w:tcW w:w="54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Satisfactorio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Resultado e incertidumbre coherentes con la referencia</w:t>
            </w:r>
          </w:p>
        </w:tc>
      </w:tr>
      <w:tr>
        <w:trPr/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2.0 &lt; |ζ| &lt; 3.0</w:t>
            </w:r>
          </w:p>
        </w:tc>
        <w:tc>
          <w:tcPr>
            <w:tcW w:w="54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Señal de advertencia</w:t>
            </w:r>
          </w:p>
        </w:tc>
      </w:tr>
      <w:tr>
        <w:trPr/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|ζ| ≥ 3.0</w:t>
            </w:r>
          </w:p>
        </w:tc>
        <w:tc>
          <w:tcPr>
            <w:tcW w:w="54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No satisfactorio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Revisar resultado y/o estimación de incertidumbre</w:t>
            </w:r>
            <w:bookmarkStart w:id="20" w:name="puntuación-ζ-zeta-score"/>
            <w:bookmarkEnd w:id="20"/>
          </w:p>
        </w:tc>
      </w:tr>
    </w:tbl>
    <w:p>
      <w:pPr>
        <w:pStyle w:val="Heading3"/>
        <w:rPr/>
      </w:pPr>
      <w:r>
        <w:rPr/>
        <w:t>4. Puntuación En (En-score)</w:t>
      </w:r>
    </w:p>
    <w:p>
      <w:pPr>
        <w:pStyle w:val="FirstParagraph"/>
        <w:rPr/>
      </w:pPr>
      <w:r>
        <w:rPr/>
        <w:t xml:space="preserve">Similar al zeta-score en concepto, pero utiliza las </w:t>
      </w:r>
      <w:r>
        <w:rPr>
          <w:b/>
          <w:bCs/>
        </w:rPr>
        <w:t>incertidumbres expandidas</w:t>
      </w:r>
      <w:r>
        <w:rPr/>
        <w:t xml:space="preserve"> (U = k·u, con k=2) en lugar de las estándar. Evalúa si el resultado del participante y el valor de referencia son compatibles dentro de sus respectivos intervalos de incertidumbre expandida.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Resultado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Interpretación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|En| ≤ 1.0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Satisfactorio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|En| &gt; 1.0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No satisfactorio</w:t>
            </w:r>
          </w:p>
        </w:tc>
      </w:tr>
    </w:tbl>
    <w:p>
      <w:pPr>
        <w:pStyle w:val="Heading3"/>
        <w:rPr/>
      </w:pPr>
      <w:r>
        <w:rPr/>
        <w:t>¿Cuál se usará en la prueba piloto?</w:t>
      </w:r>
    </w:p>
    <w:p>
      <w:pPr>
        <w:pStyle w:val="FirstParagraph"/>
        <w:rPr/>
      </w:pPr>
      <w:r>
        <w:rPr/>
        <w:t>La selección dependerá de las condiciones de cada ronda — en particular, de la relación entre la incertidumbre del valor asignado u(xpt) y la desviación estándar de aptitud σpt. Los resultados de la prueba piloto nos permitirán determinar cuál(es) indicador(es) son los más adecuados para el esquema CALAIRE-EA en su operación regular. En el informe de resultados se reportarán los indicadores aplicables con su interpretación.</w:t>
      </w:r>
    </w:p>
    <w:p>
      <w:pPr>
        <w:pStyle w:val="BlockText"/>
        <w:rPr/>
      </w:pPr>
      <w:r>
        <w:rPr>
          <w:b/>
          <w:bCs/>
        </w:rPr>
        <w:t>Nota sobre σpt:</w:t>
      </w:r>
      <w:r>
        <w:rPr/>
        <w:t xml:space="preserve"> El valor de σpt no se comunica previamente a los participantes. Se determina de forma </w:t>
      </w:r>
      <w:r>
        <w:rPr>
          <w:b/>
          <w:bCs/>
        </w:rPr>
        <w:t>p</w:t>
      </w:r>
      <w:r>
        <w:rPr>
          <w:b/>
          <w:bCs/>
        </w:rPr>
        <w:t>re</w:t>
      </w:r>
      <w:r>
        <w:rPr>
          <w:b/>
          <w:bCs/>
        </w:rPr>
        <w:t>-ronda</w:t>
      </w:r>
      <w:r>
        <w:rPr/>
        <w:t xml:space="preserve"> a partir de los requisitos normativos aplicables para cada analito, y se publica junto con los resultados en el informe final de desempeño.</w:t>
      </w:r>
    </w:p>
    <w:p>
      <w:pPr>
        <w:pStyle w:val="BlockText"/>
        <w:rPr/>
      </w:pPr>
      <w:r>
        <w:rPr>
          <w:b/>
          <w:bCs/>
        </w:rPr>
        <w:t>Aclaración de uso del informe:</w:t>
      </w:r>
      <w:r>
        <w:rPr/>
        <w:t xml:space="preserve"> al tratarse de una prueba piloto, el documento de resultados no debe presentarse ante un Organismo Evaluador de la Conformidad (OEC) como soporte de participación en un ensayo de aptitud o en una comparación interlaboratorio. Su uso es estrictamente técnico y de validación interna del esquema.</w:t>
      </w:r>
    </w:p>
    <w:p>
      <w:pPr>
        <w:pStyle w:val="BlockText"/>
        <w:rPr/>
      </w:pPr>
      <w:r>
        <w:rPr>
          <w:b/>
          <w:bCs/>
        </w:rPr>
        <w:t>¿Qué pasa si un resultado no es satisfactorio?</w:t>
      </w:r>
      <w:r>
        <w:rPr/>
        <w:t xml:space="preserve"> No hay penalización. El propósito del ensayo es </w:t>
      </w:r>
      <w:r>
        <w:rPr>
          <w:b/>
          <w:bCs/>
        </w:rPr>
        <w:t>identificar oportunidades de mejora</w:t>
      </w:r>
      <w:r>
        <w:rPr/>
        <w:t xml:space="preserve">. Un resultado “no satisfactorio” es una señal para revisar calibraciones, procedimientos o condiciones de operación. Al finalizar, cada participante recibirá un </w:t>
      </w:r>
      <w:r>
        <w:rPr>
          <w:b/>
          <w:bCs/>
        </w:rPr>
        <w:t>Informe de Desempeño</w:t>
      </w:r>
      <w:r>
        <w:rPr/>
        <w:t xml:space="preserve"> confidencial con el análisis detallado de sus resultados.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"/>
    </w:p>
    <w:p>
      <w:pPr>
        <w:pStyle w:val="Heading2"/>
        <w:rPr/>
      </w:pPr>
      <w:bookmarkStart w:id="21" w:name="confirmación-de-participación"/>
      <w:r>
        <w:rPr/>
        <w:t>9. Confirmación de Participación</w:t>
      </w:r>
    </w:p>
    <w:p>
      <w:pPr>
        <w:pStyle w:val="FirstParagraph"/>
        <w:rPr/>
      </w:pPr>
      <w:r>
        <w:rPr/>
        <w:t xml:space="preserve">Para formalizar su participación y facilitar la planificación logística, les solicitamos </w:t>
      </w:r>
      <w:r>
        <w:rPr/>
        <w:t>confirmar a vuelta de esta comunicación. Una vez recibida, se les enviará un enlace de acceso al portal de ensayos de aptitud que el laboratorio CALAIRE ha destinado para centralizar el proceso.</w:t>
      </w:r>
    </w:p>
    <w:p>
      <w:pPr>
        <w:pStyle w:val="BodyText"/>
        <w:rPr/>
      </w:pPr>
      <w:r>
        <w:rPr/>
        <w:t xml:space="preserve">En el </w:t>
      </w:r>
      <w:r>
        <w:rPr/>
        <w:t>portal se les pedirá</w:t>
      </w:r>
      <w:r>
        <w:rPr/>
        <w:t>: - Datos de contacto del laboratorio y persona responsable - Equipos que traerán (modelo, serial, vigencia de certificados de calibración) - Confirmación de participación para la ronda única de la semana del 22 de junio - Número de personas que asistirán al montaje y operación.</w:t>
      </w:r>
    </w:p>
    <w:p>
      <w:pPr>
        <w:pStyle w:val="BodyText"/>
        <w:rPr/>
      </w:pPr>
      <w:r>
        <w:rPr/>
        <w:t>Es importante mencionar que una vez confirmada la participación, l</w:t>
      </w:r>
      <w:r>
        <w:rPr/>
        <w:t xml:space="preserve">es </w:t>
      </w:r>
      <w:r>
        <w:rPr/>
        <w:t xml:space="preserve">solicitamos diligenciarlo en el menor tiempo posible para </w:t>
      </w:r>
      <w:r>
        <w:rPr/>
        <w:t>coordinar la logística de espacios y permisos de acceso al campus/</w:t>
      </w:r>
      <w:r>
        <w:rPr/>
        <w:t>edificio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"/>
    </w:p>
    <w:p>
      <w:pPr>
        <w:pStyle w:val="Heading2"/>
        <w:rPr/>
      </w:pPr>
      <w:bookmarkStart w:id="22" w:name="confidencialidad"/>
      <w:r>
        <w:rPr/>
        <w:t>10. Confidencialidad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 cada laboratorio se le asignará un </w:t>
      </w:r>
      <w:r>
        <w:rPr>
          <w:b/>
          <w:bCs/>
        </w:rPr>
        <w:t>código único y anónimo</w:t>
      </w:r>
      <w:r>
        <w:rPr/>
        <w:t>. Los resultados individuales no se compartirán con otros participantes ni con terceros, salvo lo dispuesto por la normativa (IDEAM, organismos acreditadores).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Antes de iniciar, se </w:t>
      </w:r>
      <w:r>
        <w:rPr/>
        <w:t>aceptará</w:t>
      </w:r>
      <w:r>
        <w:rPr/>
        <w:t xml:space="preserve"> un </w:t>
      </w:r>
      <w:r>
        <w:rPr>
          <w:b/>
          <w:bCs/>
        </w:rPr>
        <w:t>Acuerdo de Confidencialidad y No Confabulación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"/>
    </w:p>
    <w:p>
      <w:pPr>
        <w:pStyle w:val="Heading2"/>
        <w:rPr/>
      </w:pPr>
      <w:bookmarkStart w:id="23" w:name="reunión-informativa"/>
      <w:r>
        <w:rPr/>
        <w:t>11. Reunión Informativa</w:t>
      </w:r>
    </w:p>
    <w:p>
      <w:pPr>
        <w:pStyle w:val="FirstParagraph"/>
        <w:rPr/>
      </w:pPr>
      <w:r>
        <w:rPr/>
        <w:t xml:space="preserve">Estamos programando una </w:t>
      </w:r>
      <w:r>
        <w:rPr>
          <w:b/>
          <w:bCs/>
        </w:rPr>
        <w:t>reunión informativa virtual</w:t>
      </w:r>
      <w:r>
        <w:rPr/>
        <w:t xml:space="preserve"> para explicar el protocolo en detalle, presentar el cronograma actualizado y resolver todas sus dudas antes de la ronda.</w:t>
      </w:r>
    </w:p>
    <w:p>
      <w:pPr>
        <w:pStyle w:val="BodyText"/>
        <w:rPr/>
      </w:pPr>
      <w:r>
        <w:rPr/>
        <w:t xml:space="preserve">La fecha tentativa es durante la </w:t>
      </w:r>
      <w:r>
        <w:rPr>
          <w:b/>
          <w:bCs/>
        </w:rPr>
        <w:t>primera o segunda semana de junio de 2026</w:t>
      </w:r>
      <w:r>
        <w:rPr/>
        <w:t>. Les solicitamos indicarnos su disponibilidad: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Opción A:</w:t>
      </w:r>
      <w:r>
        <w:rPr/>
        <w:t xml:space="preserve"> Primera semana de junio 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Opción B:</w:t>
      </w:r>
      <w:r>
        <w:rPr/>
        <w:t xml:space="preserve"> Segunda semana de junio</w:t>
      </w:r>
    </w:p>
    <w:p>
      <w:pPr>
        <w:pStyle w:val="FirstParagraph"/>
        <w:rPr/>
      </w:pPr>
      <w:r>
        <w:rPr/>
        <w:t>Por favor incluyan su preferencia de horario en la respuesta a este correo.</w:t>
      </w:r>
    </w:p>
    <w:p>
      <w:pPr>
        <w:pStyle w:val="FirstParagraph"/>
        <w:rPr/>
      </w:pPr>
      <w:r>
        <w:rPr/>
      </w:r>
      <w:bookmarkEnd w:id="23"/>
    </w:p>
    <w:p>
      <w:pPr>
        <w:pStyle w:val="FirstParagraph"/>
        <w:rPr/>
      </w:pPr>
      <w:bookmarkStart w:id="24" w:name="documentos-adjuntos"/>
      <w:r>
        <w:rPr/>
        <w:t>Para cualquier consulta, no duden en contactarnos:</w:t>
      </w:r>
    </w:p>
    <w:p>
      <w:pPr>
        <w:pStyle w:val="BodyText"/>
        <w:bidi w:val="0"/>
        <w:spacing w:before="180" w:after="180"/>
        <w:rPr/>
      </w:pPr>
      <w:r>
        <w:rPr>
          <w:b/>
          <w:bCs/>
        </w:rPr>
        <w:t>Wilson Rafael Salas Chávez</w:t>
      </w:r>
      <w:r>
        <w:rPr/>
        <w:t xml:space="preserve"> Equipo Técnico — Proyecto CALAIRE-EA Laboratorio CALAIRE, Facultad de Minas Universidad Nacional de Colombia, Sede Medellín</w:t>
        <w:br/>
      </w:r>
      <w:hyperlink r:id="rId2">
        <w:r>
          <w:rPr>
            <w:rStyle w:val="Hyperlink"/>
          </w:rPr>
          <w:t>wilsonsalasc@gmail.com</w:t>
        </w:r>
      </w:hyperlink>
      <w:r>
        <w:rPr/>
        <w:t>; 3184767422</w:t>
      </w:r>
      <w:bookmarkEnd w:id="0"/>
      <w:bookmarkEnd w:id="24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</w:num>
  <w:num w:numId="17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wilsonsalasc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LibreOffice/26.2.3.2$Linux_X86_64 LibreOffice_project/620$Build-2</Application>
  <AppVersion>15.0000</AppVersion>
  <Pages>9</Pages>
  <Words>2898</Words>
  <Characters>15712</Characters>
  <CharactersWithSpaces>18366</CharactersWithSpaces>
  <Paragraphs>200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2026-05-29T17:44:38Z</dcterms:created>
  <dc:creator/>
  <dc:description/>
  <dc:language>en-US</dc:language>
  <cp:lastModifiedBy/>
  <dcterms:modified xsi:type="dcterms:W3CDTF">2026-05-29T13:46:11Z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