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3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53"/>
        <w:tblGridChange w:id="0">
          <w:tblGrid>
            <w:gridCol w:w="13853"/>
          </w:tblGrid>
        </w:tblGridChange>
      </w:tblGrid>
      <w:tr>
        <w:trPr>
          <w:cantSplit w:val="0"/>
          <w:trHeight w:val="714" w:hRule="atLeast"/>
          <w:tblHeader w:val="0"/>
        </w:trPr>
        <w:tc>
          <w:tcPr>
            <w:tcBorders>
              <w:bottom w:color="000000" w:space="0" w:sz="4" w:val="single"/>
            </w:tcBorders>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Establecer los requisitos para el embalaje y transporte de los instrumentos a usar para el ensayo de aptitud para la matriz aire ambiente de los gases contaminantes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p>
        </w:tc>
      </w:tr>
      <w:tr>
        <w:trPr>
          <w:cantSplit w:val="0"/>
          <w:trHeight w:val="873" w:hRule="atLeast"/>
          <w:tblHeader w:val="0"/>
        </w:trPr>
        <w:tc>
          <w:tcPr>
            <w:tcBorders>
              <w:top w:color="000000" w:space="0" w:sz="4" w:val="single"/>
              <w:bottom w:color="000000" w:space="0" w:sz="4" w:val="single"/>
            </w:tcBorders>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before="12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ALCANCE:</w:t>
            </w:r>
            <w:r w:rsidDel="00000000" w:rsidR="00000000" w:rsidRPr="00000000">
              <w:rPr>
                <w:rFonts w:ascii="Arial" w:cs="Arial" w:eastAsia="Arial" w:hAnsi="Arial"/>
                <w:color w:val="000000"/>
                <w:sz w:val="22"/>
                <w:szCs w:val="22"/>
                <w:rtl w:val="0"/>
              </w:rPr>
              <w:t xml:space="preserve"> Este </w:t>
            </w:r>
            <w:r w:rsidDel="00000000" w:rsidR="00000000" w:rsidRPr="00000000">
              <w:rPr>
                <w:rFonts w:ascii="Arial" w:cs="Arial" w:eastAsia="Arial" w:hAnsi="Arial"/>
                <w:sz w:val="22"/>
                <w:szCs w:val="22"/>
                <w:rtl w:val="0"/>
              </w:rPr>
              <w:t xml:space="preserve">Instructivo aplica para los equipos, analizadores, equipos auxiliares de los participantes del ensayo de aptitud.</w:t>
            </w:r>
            <w:r w:rsidDel="00000000" w:rsidR="00000000" w:rsidRPr="00000000">
              <w:rPr>
                <w:rtl w:val="0"/>
              </w:rPr>
            </w:r>
          </w:p>
        </w:tc>
      </w:tr>
      <w:tr>
        <w:trPr>
          <w:cantSplit w:val="0"/>
          <w:trHeight w:val="873" w:hRule="atLeast"/>
          <w:tblHeader w:val="0"/>
        </w:trPr>
        <w:tc>
          <w:tcPr>
            <w:tcBorders>
              <w:top w:color="000000" w:space="0" w:sz="4" w:val="single"/>
              <w:bottom w:color="000000" w:space="0" w:sz="4" w:val="single"/>
            </w:tcBorders>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before="12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DEFINICIONES: </w:t>
            </w:r>
          </w:p>
          <w:p w:rsidR="00000000" w:rsidDel="00000000" w:rsidP="00000000" w:rsidRDefault="00000000" w:rsidRPr="00000000" w14:paraId="00000005">
            <w:pPr>
              <w:numPr>
                <w:ilvl w:val="0"/>
                <w:numId w:val="3"/>
              </w:numPr>
              <w:spacing w:after="120" w:before="120" w:lineRule="auto"/>
              <w:ind w:left="720" w:hanging="360"/>
              <w:jc w:val="both"/>
              <w:rPr>
                <w:rFonts w:ascii="Arial" w:cs="Arial" w:eastAsia="Arial" w:hAnsi="Arial"/>
              </w:rPr>
            </w:pPr>
            <w:r w:rsidDel="00000000" w:rsidR="00000000" w:rsidRPr="00000000">
              <w:rPr>
                <w:rFonts w:ascii="Arial" w:cs="Arial" w:eastAsia="Arial" w:hAnsi="Arial"/>
                <w:b w:val="1"/>
                <w:sz w:val="22"/>
                <w:szCs w:val="22"/>
                <w:rtl w:val="0"/>
              </w:rPr>
              <w:t xml:space="preserve">Rack</w:t>
            </w:r>
            <w:r w:rsidDel="00000000" w:rsidR="00000000" w:rsidRPr="00000000">
              <w:rPr>
                <w:rFonts w:ascii="Arial" w:cs="Arial" w:eastAsia="Arial" w:hAnsi="Arial"/>
                <w:sz w:val="22"/>
                <w:szCs w:val="22"/>
                <w:rtl w:val="0"/>
              </w:rPr>
              <w:t xml:space="preserve">: Mueble para soportar los equipos o analizadores.</w:t>
            </w:r>
            <w:r w:rsidDel="00000000" w:rsidR="00000000" w:rsidRPr="00000000">
              <w:rPr>
                <w:rtl w:val="0"/>
              </w:rPr>
            </w:r>
          </w:p>
          <w:p w:rsidR="00000000" w:rsidDel="00000000" w:rsidP="00000000" w:rsidRDefault="00000000" w:rsidRPr="00000000" w14:paraId="00000006">
            <w:pPr>
              <w:numPr>
                <w:ilvl w:val="0"/>
                <w:numId w:val="3"/>
              </w:numPr>
              <w:spacing w:after="120" w:before="120" w:lineRule="auto"/>
              <w:ind w:left="720" w:hanging="360"/>
              <w:jc w:val="both"/>
              <w:rPr>
                <w:rFonts w:ascii="Arial" w:cs="Arial" w:eastAsia="Arial" w:hAnsi="Arial"/>
              </w:rPr>
            </w:pPr>
            <w:r w:rsidDel="00000000" w:rsidR="00000000" w:rsidRPr="00000000">
              <w:rPr>
                <w:rFonts w:ascii="Arial" w:cs="Arial" w:eastAsia="Arial" w:hAnsi="Arial"/>
                <w:b w:val="1"/>
                <w:sz w:val="22"/>
                <w:szCs w:val="22"/>
                <w:rtl w:val="0"/>
              </w:rPr>
              <w:t xml:space="preserve">Gases</w:t>
            </w:r>
            <w:r w:rsidDel="00000000" w:rsidR="00000000" w:rsidRPr="00000000">
              <w:rPr>
                <w:rFonts w:ascii="Arial" w:cs="Arial" w:eastAsia="Arial" w:hAnsi="Arial"/>
                <w:sz w:val="22"/>
                <w:szCs w:val="22"/>
                <w:rtl w:val="0"/>
              </w:rPr>
              <w:t xml:space="preserve">: Sustancias químicas que no tienen forma ni volumen constante y tienden a llenar el recipiente que las contiene.</w:t>
            </w:r>
            <w:r w:rsidDel="00000000" w:rsidR="00000000" w:rsidRPr="00000000">
              <w:rPr>
                <w:rtl w:val="0"/>
              </w:rPr>
            </w:r>
          </w:p>
          <w:p w:rsidR="00000000" w:rsidDel="00000000" w:rsidP="00000000" w:rsidRDefault="00000000" w:rsidRPr="00000000" w14:paraId="00000007">
            <w:pPr>
              <w:numPr>
                <w:ilvl w:val="1"/>
                <w:numId w:val="3"/>
              </w:numPr>
              <w:spacing w:after="120" w:before="120" w:lineRule="auto"/>
              <w:ind w:left="1440" w:hanging="360"/>
              <w:jc w:val="both"/>
              <w:rPr>
                <w:rFonts w:ascii="Arial" w:cs="Arial" w:eastAsia="Arial" w:hAnsi="Arial"/>
                <w:b w:val="0"/>
                <w:sz w:val="22"/>
                <w:szCs w:val="22"/>
              </w:rPr>
            </w:pPr>
            <w:r w:rsidDel="00000000" w:rsidR="00000000" w:rsidRPr="00000000">
              <w:rPr>
                <w:rFonts w:ascii="Arial" w:cs="Arial" w:eastAsia="Arial" w:hAnsi="Arial"/>
                <w:b w:val="1"/>
                <w:sz w:val="22"/>
                <w:szCs w:val="22"/>
                <w:rtl w:val="0"/>
              </w:rPr>
              <w:t xml:space="preserve">Gases tóxicos</w:t>
            </w:r>
            <w:r w:rsidDel="00000000" w:rsidR="00000000" w:rsidRPr="00000000">
              <w:rPr>
                <w:rFonts w:ascii="Arial" w:cs="Arial" w:eastAsia="Arial" w:hAnsi="Arial"/>
                <w:sz w:val="22"/>
                <w:szCs w:val="22"/>
                <w:rtl w:val="0"/>
              </w:rPr>
              <w:t xml:space="preserve">. Estos gases son extremadamente peligrosos para los seres vivos. Algunos gases tóxicos también son corrosivos y pueden causar daños al medio ambiente. Ejemplo: cloro, dióxido de azufre, monóxido de carbono, óxido de etileno.</w:t>
            </w:r>
          </w:p>
          <w:p w:rsidR="00000000" w:rsidDel="00000000" w:rsidP="00000000" w:rsidRDefault="00000000" w:rsidRPr="00000000" w14:paraId="00000008">
            <w:pPr>
              <w:numPr>
                <w:ilvl w:val="1"/>
                <w:numId w:val="3"/>
              </w:numPr>
              <w:spacing w:after="120" w:before="120" w:lineRule="auto"/>
              <w:ind w:left="1440" w:hanging="360"/>
              <w:jc w:val="both"/>
              <w:rPr>
                <w:rFonts w:ascii="Arial" w:cs="Arial" w:eastAsia="Arial" w:hAnsi="Arial"/>
                <w:b w:val="0"/>
                <w:sz w:val="22"/>
                <w:szCs w:val="22"/>
              </w:rPr>
            </w:pPr>
            <w:r w:rsidDel="00000000" w:rsidR="00000000" w:rsidRPr="00000000">
              <w:rPr>
                <w:rFonts w:ascii="Arial" w:cs="Arial" w:eastAsia="Arial" w:hAnsi="Arial"/>
                <w:b w:val="1"/>
                <w:sz w:val="22"/>
                <w:szCs w:val="22"/>
                <w:rtl w:val="0"/>
              </w:rPr>
              <w:t xml:space="preserve">Gases contaminantes criterio:</w:t>
            </w:r>
            <w:r w:rsidDel="00000000" w:rsidR="00000000" w:rsidRPr="00000000">
              <w:rPr>
                <w:rFonts w:ascii="Arial" w:cs="Arial" w:eastAsia="Arial" w:hAnsi="Arial"/>
                <w:sz w:val="22"/>
                <w:szCs w:val="22"/>
                <w:rtl w:val="0"/>
              </w:rPr>
              <w:t xml:space="preserve"> Según la normatividad ambiental colombiana, son el monóxido de carbono (CO), dióxido de azufre (SO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Ozono (O</w:t>
            </w:r>
            <w:r w:rsidDel="00000000" w:rsidR="00000000" w:rsidRPr="00000000">
              <w:rPr>
                <w:rFonts w:ascii="Arial" w:cs="Arial" w:eastAsia="Arial" w:hAnsi="Arial"/>
                <w:sz w:val="22"/>
                <w:szCs w:val="22"/>
                <w:vertAlign w:val="subscript"/>
                <w:rtl w:val="0"/>
              </w:rPr>
              <w:t xml:space="preserve">3</w:t>
            </w:r>
            <w:r w:rsidDel="00000000" w:rsidR="00000000" w:rsidRPr="00000000">
              <w:rPr>
                <w:rFonts w:ascii="Arial" w:cs="Arial" w:eastAsia="Arial" w:hAnsi="Arial"/>
                <w:sz w:val="22"/>
                <w:szCs w:val="22"/>
                <w:rtl w:val="0"/>
              </w:rPr>
              <w:t xml:space="preserve">) y Óxidos de nitrógeno (NO y NO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9">
            <w:pPr>
              <w:pStyle w:val="Heading3"/>
              <w:numPr>
                <w:ilvl w:val="0"/>
                <w:numId w:val="3"/>
              </w:numPr>
              <w:spacing w:after="240" w:before="0" w:lineRule="auto"/>
              <w:ind w:left="720" w:hanging="360"/>
              <w:rPr>
                <w:rFonts w:ascii="Arial" w:cs="Arial" w:eastAsia="Arial" w:hAnsi="Arial"/>
              </w:rPr>
            </w:pPr>
            <w:bookmarkStart w:colFirst="0" w:colLast="0" w:name="_heading=h.ucjeyjxao8qc" w:id="0"/>
            <w:bookmarkEnd w:id="0"/>
            <w:r w:rsidDel="00000000" w:rsidR="00000000" w:rsidRPr="00000000">
              <w:rPr>
                <w:rFonts w:ascii="Arial" w:cs="Arial" w:eastAsia="Arial" w:hAnsi="Arial"/>
                <w:sz w:val="22"/>
                <w:szCs w:val="22"/>
                <w:rtl w:val="0"/>
              </w:rPr>
              <w:t xml:space="preserve">Analizador Continuo de Gas: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b w:val="0"/>
                <w:sz w:val="22"/>
                <w:szCs w:val="22"/>
                <w:rtl w:val="0"/>
              </w:rPr>
              <w:t xml:space="preserve">Equipo que es capaz de cuantificar la concentración de un gas determinado en intervalos de tiempo muy pequeños, lo que en la práctica lo transforma en un muestreo continúo. Estos equipos tienen la capacidad de almacenar estos datos en el tiempo, ya sea en una unidad interna o externa.</w:t>
            </w:r>
            <w:r w:rsidDel="00000000" w:rsidR="00000000" w:rsidRPr="00000000">
              <w:rPr>
                <w:rtl w:val="0"/>
              </w:rPr>
            </w:r>
          </w:p>
          <w:p w:rsidR="00000000" w:rsidDel="00000000" w:rsidP="00000000" w:rsidRDefault="00000000" w:rsidRPr="00000000" w14:paraId="0000000A">
            <w:pPr>
              <w:pStyle w:val="Heading3"/>
              <w:numPr>
                <w:ilvl w:val="0"/>
                <w:numId w:val="3"/>
              </w:numPr>
              <w:spacing w:after="240" w:before="0" w:lineRule="auto"/>
              <w:ind w:left="720" w:hanging="360"/>
              <w:rPr>
                <w:rFonts w:ascii="Arial" w:cs="Arial" w:eastAsia="Arial" w:hAnsi="Arial"/>
                <w:color w:val="1b1c1d"/>
              </w:rPr>
            </w:pPr>
            <w:bookmarkStart w:colFirst="0" w:colLast="0" w:name="_heading=h.u8yc3s3k5dd2" w:id="1"/>
            <w:bookmarkEnd w:id="1"/>
            <w:r w:rsidDel="00000000" w:rsidR="00000000" w:rsidRPr="00000000">
              <w:rPr>
                <w:rFonts w:ascii="Arial" w:cs="Arial" w:eastAsia="Arial" w:hAnsi="Arial"/>
                <w:color w:val="1b1c1d"/>
                <w:sz w:val="22"/>
                <w:szCs w:val="22"/>
                <w:rtl w:val="0"/>
              </w:rPr>
              <w:t xml:space="preserve">Ítem de ensayo: </w:t>
            </w:r>
            <w:r w:rsidDel="00000000" w:rsidR="00000000" w:rsidRPr="00000000">
              <w:rPr>
                <w:rFonts w:ascii="Arial" w:cs="Arial" w:eastAsia="Arial" w:hAnsi="Arial"/>
                <w:b w:val="0"/>
                <w:sz w:val="22"/>
                <w:szCs w:val="22"/>
                <w:rtl w:val="0"/>
              </w:rPr>
              <w:t xml:space="preserve">El ítem de ensayo es una atmósfera de gas contaminante criterio en aire cero suministradas a través de un colector de distribución, generadas dinámicamente a partir de un Material Certificado de Referencia o de un fotómetro nivel 2 para el caso del Ozono.</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120" w:lineRule="auto"/>
              <w:jc w:val="both"/>
              <w:rPr>
                <w:rFonts w:ascii="Arial" w:cs="Arial" w:eastAsia="Arial" w:hAnsi="Arial"/>
                <w:b w:val="1"/>
                <w:color w:val="000000"/>
                <w:sz w:val="22"/>
                <w:szCs w:val="22"/>
              </w:rPr>
            </w:pPr>
            <w:r w:rsidDel="00000000" w:rsidR="00000000" w:rsidRPr="00000000">
              <w:rPr>
                <w:rtl w:val="0"/>
              </w:rPr>
            </w:r>
          </w:p>
        </w:tc>
      </w:tr>
      <w:tr>
        <w:trPr>
          <w:cantSplit w:val="0"/>
          <w:trHeight w:val="873" w:hRule="atLeast"/>
          <w:tblHeader w:val="0"/>
        </w:trPr>
        <w:tc>
          <w:tcPr>
            <w:tcBorders>
              <w:top w:color="000000" w:space="0" w:sz="4" w:val="single"/>
            </w:tcBorders>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before="12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DOCUMENTOS DE REFERENCIA: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before="12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 EPA: EPA QA Handbook for Air Pollution Measurement Systems (Volume II – Ambient Air Quality Monitoring Program)</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before="120" w:lineRule="auto"/>
              <w:jc w:val="both"/>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Manuales técnicos de operación y mantenimiento de los fabricantes</w:t>
            </w:r>
            <w:r w:rsidDel="00000000" w:rsidR="00000000" w:rsidRPr="00000000">
              <w:rPr>
                <w:rtl w:val="0"/>
              </w:rPr>
            </w:r>
          </w:p>
        </w:tc>
      </w:tr>
    </w:tbl>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INFORMACIÓN ESPECÍFICA DEL INSTRUCTIVO:</w:t>
      </w:r>
    </w:p>
    <w:p w:rsidR="00000000" w:rsidDel="00000000" w:rsidP="00000000" w:rsidRDefault="00000000" w:rsidRPr="00000000" w14:paraId="00000011">
      <w:pPr>
        <w:rPr>
          <w:rFonts w:ascii="Arial" w:cs="Arial" w:eastAsia="Arial" w:hAnsi="Arial"/>
          <w:b w:val="1"/>
          <w:color w:val="000000"/>
          <w:sz w:val="17"/>
          <w:szCs w:val="17"/>
        </w:rPr>
      </w:pPr>
      <w:r w:rsidDel="00000000" w:rsidR="00000000" w:rsidRPr="00000000">
        <w:rPr>
          <w:rtl w:val="0"/>
        </w:rPr>
      </w:r>
    </w:p>
    <w:p w:rsidR="00000000" w:rsidDel="00000000" w:rsidP="00000000" w:rsidRDefault="00000000" w:rsidRPr="00000000" w14:paraId="00000012">
      <w:pP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13">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4">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cliente (participante) es responsable de embalar el equipo de manera adecuada con las debidas protecciones contra las vibraciones o impactos que se pueden presentar en el transporte del mismo. Especiales protecciones se deben</w:t>
      </w:r>
    </w:p>
    <w:p w:rsidR="00000000" w:rsidDel="00000000" w:rsidP="00000000" w:rsidRDefault="00000000" w:rsidRPr="00000000" w14:paraId="00000015">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dar a la pantalla y a las conexiones neumáticas. </w:t>
      </w:r>
    </w:p>
    <w:p w:rsidR="00000000" w:rsidDel="00000000" w:rsidP="00000000" w:rsidRDefault="00000000" w:rsidRPr="00000000" w14:paraId="00000016">
      <w:pP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EMBALAJE:</w:t>
      </w:r>
    </w:p>
    <w:p w:rsidR="00000000" w:rsidDel="00000000" w:rsidP="00000000" w:rsidRDefault="00000000" w:rsidRPr="00000000" w14:paraId="00000018">
      <w:pP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A continuación de describe una serie de recomendaciones para el embalaje: </w:t>
      </w:r>
    </w:p>
    <w:p w:rsidR="00000000" w:rsidDel="00000000" w:rsidP="00000000" w:rsidRDefault="00000000" w:rsidRPr="00000000" w14:paraId="0000001A">
      <w:pPr>
        <w:rPr>
          <w:rFonts w:ascii="Arial" w:cs="Arial" w:eastAsia="Arial" w:hAnsi="Arial"/>
          <w:b w:val="1"/>
          <w:color w:val="000000"/>
          <w:sz w:val="22"/>
          <w:szCs w:val="22"/>
        </w:rPr>
      </w:pPr>
      <w:r w:rsidDel="00000000" w:rsidR="00000000" w:rsidRPr="00000000">
        <w:rPr>
          <w:rtl w:val="0"/>
        </w:rPr>
      </w:r>
    </w:p>
    <w:tbl>
      <w:tblPr>
        <w:tblStyle w:val="Table2"/>
        <w:tblW w:w="12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8276"/>
        <w:tblGridChange w:id="0">
          <w:tblGrid>
            <w:gridCol w:w="4655"/>
            <w:gridCol w:w="8276"/>
          </w:tblGrid>
        </w:tblGridChange>
      </w:tblGrid>
      <w:tr>
        <w:trPr>
          <w:cantSplit w:val="0"/>
          <w:tblHeader w:val="1"/>
        </w:trPr>
        <w:tc>
          <w:tcPr>
            <w:vAlign w:val="center"/>
          </w:tcPr>
          <w:p w:rsidR="00000000" w:rsidDel="00000000" w:rsidP="00000000" w:rsidRDefault="00000000" w:rsidRPr="00000000" w14:paraId="0000001B">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COMPONENTE</w:t>
            </w:r>
          </w:p>
        </w:tc>
        <w:tc>
          <w:tcPr>
            <w:vAlign w:val="center"/>
          </w:tcPr>
          <w:p w:rsidR="00000000" w:rsidDel="00000000" w:rsidP="00000000" w:rsidRDefault="00000000" w:rsidRPr="00000000" w14:paraId="0000001C">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RECOMENDACIÓN</w:t>
            </w:r>
          </w:p>
        </w:tc>
      </w:tr>
      <w:tr>
        <w:trPr>
          <w:cantSplit w:val="0"/>
          <w:tblHeader w:val="0"/>
        </w:trPr>
        <w:tc>
          <w:tcPr>
            <w:vAlign w:val="center"/>
          </w:tcPr>
          <w:p w:rsidR="00000000" w:rsidDel="00000000" w:rsidP="00000000" w:rsidRDefault="00000000" w:rsidRPr="00000000" w14:paraId="0000001D">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Caja de transporte</w:t>
            </w: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Estuche rígido (Pelican Case o similar), estanco al agua y con válvula de presión</w:t>
            </w:r>
          </w:p>
        </w:tc>
      </w:tr>
      <w:tr>
        <w:trPr>
          <w:cantSplit w:val="0"/>
          <w:tblHeader w:val="0"/>
        </w:trPr>
        <w:tc>
          <w:tcPr>
            <w:vAlign w:val="center"/>
          </w:tcPr>
          <w:p w:rsidR="00000000" w:rsidDel="00000000" w:rsidP="00000000" w:rsidRDefault="00000000" w:rsidRPr="00000000" w14:paraId="0000001F">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Aislamiento interno</w:t>
            </w:r>
            <w:r w:rsidDel="00000000" w:rsidR="00000000" w:rsidRPr="00000000">
              <w:rPr>
                <w:rtl w:val="0"/>
              </w:rPr>
            </w:r>
          </w:p>
        </w:tc>
        <w:tc>
          <w:tcPr>
            <w:vAlign w:val="center"/>
          </w:tcPr>
          <w:p w:rsidR="00000000" w:rsidDel="00000000" w:rsidP="00000000" w:rsidRDefault="00000000" w:rsidRPr="00000000" w14:paraId="0000002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Espuma de poliuretano de alta densidad, moldeada a la forma del equipo</w:t>
            </w:r>
          </w:p>
        </w:tc>
      </w:tr>
      <w:tr>
        <w:trPr>
          <w:cantSplit w:val="0"/>
          <w:tblHeader w:val="0"/>
        </w:trPr>
        <w:tc>
          <w:tcPr>
            <w:vAlign w:val="center"/>
          </w:tcPr>
          <w:p w:rsidR="00000000" w:rsidDel="00000000" w:rsidP="00000000" w:rsidRDefault="00000000" w:rsidRPr="00000000" w14:paraId="00000021">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Sensores y sondas</w:t>
            </w:r>
            <w:r w:rsidDel="00000000" w:rsidR="00000000" w:rsidRPr="00000000">
              <w:rPr>
                <w:rtl w:val="0"/>
              </w:rPr>
            </w:r>
          </w:p>
        </w:tc>
        <w:tc>
          <w:tcPr>
            <w:vAlign w:val="center"/>
          </w:tcPr>
          <w:p w:rsidR="00000000" w:rsidDel="00000000" w:rsidP="00000000" w:rsidRDefault="00000000" w:rsidRPr="00000000" w14:paraId="000000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Protecciones individuales, cubiertas antiestáticas y con amortiguación anti-vibración</w:t>
            </w:r>
          </w:p>
        </w:tc>
      </w:tr>
      <w:tr>
        <w:trPr>
          <w:cantSplit w:val="0"/>
          <w:tblHeader w:val="0"/>
        </w:trPr>
        <w:tc>
          <w:tcPr>
            <w:vAlign w:val="center"/>
          </w:tcPr>
          <w:p w:rsidR="00000000" w:rsidDel="00000000" w:rsidP="00000000" w:rsidRDefault="00000000" w:rsidRPr="00000000" w14:paraId="00000023">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Cables y accesorios</w:t>
            </w:r>
            <w:r w:rsidDel="00000000" w:rsidR="00000000" w:rsidRPr="00000000">
              <w:rPr>
                <w:rtl w:val="0"/>
              </w:rPr>
            </w:r>
          </w:p>
        </w:tc>
        <w:tc>
          <w:tcPr>
            <w:vAlign w:val="center"/>
          </w:tcPr>
          <w:p w:rsidR="00000000" w:rsidDel="00000000" w:rsidP="00000000" w:rsidRDefault="00000000" w:rsidRPr="00000000" w14:paraId="0000002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Bolsillos o compartimientos separados, etiquetados</w:t>
            </w:r>
          </w:p>
        </w:tc>
      </w:tr>
      <w:tr>
        <w:trPr>
          <w:cantSplit w:val="0"/>
          <w:tblHeader w:val="0"/>
        </w:trPr>
        <w:tc>
          <w:tcPr>
            <w:vAlign w:val="center"/>
          </w:tcPr>
          <w:p w:rsidR="00000000" w:rsidDel="00000000" w:rsidP="00000000" w:rsidRDefault="00000000" w:rsidRPr="00000000" w14:paraId="00000025">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Instrumentos con celda electroquímica o IR</w:t>
            </w:r>
            <w:r w:rsidDel="00000000" w:rsidR="00000000" w:rsidRPr="00000000">
              <w:rPr>
                <w:rtl w:val="0"/>
              </w:rPr>
            </w:r>
          </w:p>
        </w:tc>
        <w:tc>
          <w:tcPr>
            <w:vAlign w:val="center"/>
          </w:tcPr>
          <w:p w:rsidR="00000000" w:rsidDel="00000000" w:rsidP="00000000" w:rsidRDefault="00000000" w:rsidRPr="00000000" w14:paraId="0000002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Transportar en posición vertical, en estuche certificado para impacto</w:t>
            </w:r>
          </w:p>
        </w:tc>
      </w:tr>
    </w:tbl>
    <w:p w:rsidR="00000000" w:rsidDel="00000000" w:rsidP="00000000" w:rsidRDefault="00000000" w:rsidRPr="00000000" w14:paraId="0000002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Con respecto a tipo de sensor, tener en cuenta:</w:t>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tbl>
      <w:tblPr>
        <w:tblStyle w:val="Table3"/>
        <w:tblW w:w="12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6"/>
        <w:gridCol w:w="3064"/>
        <w:gridCol w:w="8215"/>
        <w:tblGridChange w:id="0">
          <w:tblGrid>
            <w:gridCol w:w="1546"/>
            <w:gridCol w:w="3064"/>
            <w:gridCol w:w="8215"/>
          </w:tblGrid>
        </w:tblGridChange>
      </w:tblGrid>
      <w:tr>
        <w:trPr>
          <w:cantSplit w:val="0"/>
          <w:tblHeader w:val="1"/>
        </w:trPr>
        <w:tc>
          <w:tcPr>
            <w:vAlign w:val="center"/>
          </w:tcPr>
          <w:p w:rsidR="00000000" w:rsidDel="00000000" w:rsidP="00000000" w:rsidRDefault="00000000" w:rsidRPr="00000000" w14:paraId="0000002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GAS</w:t>
            </w:r>
          </w:p>
        </w:tc>
        <w:tc>
          <w:tcPr>
            <w:vAlign w:val="center"/>
          </w:tcPr>
          <w:p w:rsidR="00000000" w:rsidDel="00000000" w:rsidP="00000000" w:rsidRDefault="00000000" w:rsidRPr="00000000" w14:paraId="000000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TIPO DE SENSOR COMÚN</w:t>
            </w:r>
          </w:p>
        </w:tc>
        <w:tc>
          <w:tcPr>
            <w:vAlign w:val="center"/>
          </w:tcPr>
          <w:p w:rsidR="00000000" w:rsidDel="00000000" w:rsidP="00000000" w:rsidRDefault="00000000" w:rsidRPr="00000000" w14:paraId="0000002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PRECAUCIONES ESPECÍFICAS DE EMBALAJE</w:t>
            </w:r>
          </w:p>
        </w:tc>
      </w:tr>
      <w:tr>
        <w:trPr>
          <w:cantSplit w:val="0"/>
          <w:tblHeader w:val="0"/>
        </w:trPr>
        <w:tc>
          <w:tcPr>
            <w:vAlign w:val="center"/>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NOx, NO, NO</w:t>
            </w:r>
            <w:r w:rsidDel="00000000" w:rsidR="00000000" w:rsidRPr="00000000">
              <w:rPr>
                <w:rFonts w:ascii="Cambria Math" w:cs="Cambria Math" w:eastAsia="Cambria Math" w:hAnsi="Cambria Math"/>
                <w:b w:val="1"/>
                <w:sz w:val="22"/>
                <w:szCs w:val="22"/>
                <w:rtl w:val="0"/>
              </w:rPr>
              <w:t xml:space="preserve">₂</w:t>
            </w:r>
            <w:r w:rsidDel="00000000" w:rsidR="00000000" w:rsidRPr="00000000">
              <w:rPr>
                <w:rtl w:val="0"/>
              </w:rPr>
            </w:r>
          </w:p>
        </w:tc>
        <w:tc>
          <w:tcPr>
            <w:vAlign w:val="center"/>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Quimioluminiscencia</w:t>
            </w:r>
          </w:p>
        </w:tc>
        <w:tc>
          <w:tcPr>
            <w:vAlign w:val="center"/>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Evitar exposición a golpes. Desconectar líneas de muestra con tapones herméticos</w:t>
            </w:r>
          </w:p>
        </w:tc>
      </w:tr>
      <w:tr>
        <w:trPr>
          <w:cantSplit w:val="0"/>
          <w:tblHeader w:val="0"/>
        </w:trPr>
        <w:tc>
          <w:tcPr>
            <w:vAlign w:val="center"/>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SO</w:t>
            </w:r>
            <w:r w:rsidDel="00000000" w:rsidR="00000000" w:rsidRPr="00000000">
              <w:rPr>
                <w:rFonts w:ascii="Cambria Math" w:cs="Cambria Math" w:eastAsia="Cambria Math" w:hAnsi="Cambria Math"/>
                <w:b w:val="1"/>
                <w:sz w:val="22"/>
                <w:szCs w:val="22"/>
                <w:rtl w:val="0"/>
              </w:rPr>
              <w:t xml:space="preserve">₂</w:t>
            </w:r>
            <w:r w:rsidDel="00000000" w:rsidR="00000000" w:rsidRPr="00000000">
              <w:rPr>
                <w:rtl w:val="0"/>
              </w:rPr>
            </w:r>
          </w:p>
        </w:tc>
        <w:tc>
          <w:tcPr>
            <w:vAlign w:val="center"/>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Fluorescencia ultravioleta</w:t>
            </w:r>
          </w:p>
        </w:tc>
        <w:tc>
          <w:tcPr>
            <w:vAlign w:val="cente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Evitar ingreso de humedad. Sellar entrada de gases con tapones plásticos</w:t>
            </w:r>
          </w:p>
        </w:tc>
      </w:tr>
      <w:tr>
        <w:trPr>
          <w:cantSplit w:val="0"/>
          <w:tblHeader w:val="0"/>
        </w:trPr>
        <w:tc>
          <w:tcPr>
            <w:vAlign w:val="center"/>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w:t>
            </w:r>
            <w:r w:rsidDel="00000000" w:rsidR="00000000" w:rsidRPr="00000000">
              <w:rPr>
                <w:rtl w:val="0"/>
              </w:rPr>
            </w:r>
          </w:p>
        </w:tc>
        <w:tc>
          <w:tcPr>
            <w:vAlign w:val="center"/>
          </w:tcPr>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Infrarrojo no dispersivo (NDIR)</w:t>
            </w:r>
          </w:p>
        </w:tc>
        <w:tc>
          <w:tcPr>
            <w:vAlign w:val="center"/>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Cuidar de impactos y polvo. Transportar con cubiertas protectoras internas</w:t>
            </w:r>
          </w:p>
        </w:tc>
      </w:tr>
      <w:tr>
        <w:trPr>
          <w:cantSplit w:val="0"/>
          <w:tblHeader w:val="0"/>
        </w:trPr>
        <w:tc>
          <w:tcPr>
            <w:vAlign w:val="center"/>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O</w:t>
            </w:r>
            <w:r w:rsidDel="00000000" w:rsidR="00000000" w:rsidRPr="00000000">
              <w:rPr>
                <w:rFonts w:ascii="Cambria Math" w:cs="Cambria Math" w:eastAsia="Cambria Math" w:hAnsi="Cambria Math"/>
                <w:b w:val="1"/>
                <w:sz w:val="22"/>
                <w:szCs w:val="22"/>
                <w:rtl w:val="0"/>
              </w:rPr>
              <w:t xml:space="preserve">₃</w:t>
            </w:r>
            <w:r w:rsidDel="00000000" w:rsidR="00000000" w:rsidRPr="00000000">
              <w:rPr>
                <w:rtl w:val="0"/>
              </w:rPr>
            </w:r>
          </w:p>
        </w:tc>
        <w:tc>
          <w:tcPr>
            <w:vAlign w:val="center"/>
          </w:tcPr>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Absorción UV</w:t>
            </w:r>
          </w:p>
        </w:tc>
        <w:tc>
          <w:tcPr>
            <w:vAlign w:val="center"/>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No exponer al sol directo. Transportar en estuche opaco.</w:t>
            </w:r>
          </w:p>
        </w:tc>
      </w:tr>
    </w:tbl>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TRANSPORTE:</w:t>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bl>
      <w:tblPr>
        <w:tblStyle w:val="Table4"/>
        <w:tblW w:w="10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8536"/>
        <w:tblGridChange w:id="0">
          <w:tblGrid>
            <w:gridCol w:w="2122"/>
            <w:gridCol w:w="8536"/>
          </w:tblGrid>
        </w:tblGridChange>
      </w:tblGrid>
      <w:tr>
        <w:trPr>
          <w:cantSplit w:val="0"/>
          <w:tblHeader w:val="1"/>
        </w:trPr>
        <w:tc>
          <w:tcPr>
            <w:vAlign w:val="center"/>
          </w:tcPr>
          <w:p w:rsidR="00000000" w:rsidDel="00000000" w:rsidP="00000000" w:rsidRDefault="00000000" w:rsidRPr="00000000" w14:paraId="000000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PARÁMETRO</w:t>
            </w:r>
          </w:p>
        </w:tc>
        <w:tc>
          <w:tcPr>
            <w:vAlign w:val="center"/>
          </w:tcPr>
          <w:p w:rsidR="00000000" w:rsidDel="00000000" w:rsidP="00000000" w:rsidRDefault="00000000" w:rsidRPr="00000000" w14:paraId="0000004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RECOMENDACIÓN SEGÚN FABRICANTES</w:t>
            </w:r>
          </w:p>
        </w:tc>
      </w:tr>
      <w:tr>
        <w:trPr>
          <w:cantSplit w:val="0"/>
          <w:tblHeader w:val="0"/>
        </w:trPr>
        <w:tc>
          <w:tcPr>
            <w:vAlign w:val="center"/>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Temperatura</w:t>
            </w:r>
          </w:p>
        </w:tc>
        <w:tc>
          <w:tcPr>
            <w:vAlign w:val="center"/>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5 – 35 °C (no dejar en vehículos expuestos al sol)</w:t>
            </w:r>
          </w:p>
        </w:tc>
      </w:tr>
      <w:tr>
        <w:trPr>
          <w:cantSplit w:val="0"/>
          <w:tblHeader w:val="0"/>
        </w:trPr>
        <w:tc>
          <w:tcPr>
            <w:vAlign w:val="center"/>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Humedad</w:t>
            </w:r>
          </w:p>
        </w:tc>
        <w:tc>
          <w:tcPr>
            <w:vAlign w:val="center"/>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30 % – 60% RH. Usar bolsitas de gel de sílica</w:t>
            </w:r>
          </w:p>
        </w:tc>
      </w:tr>
      <w:tr>
        <w:trPr>
          <w:cantSplit w:val="0"/>
          <w:tblHeader w:val="0"/>
        </w:trPr>
        <w:tc>
          <w:tcPr>
            <w:vAlign w:val="center"/>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Vibración</w:t>
            </w:r>
          </w:p>
        </w:tc>
        <w:tc>
          <w:tcPr>
            <w:vAlign w:val="center"/>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Minimizar con empaques amortiguadores, preferiblemente resortes de suspensión o espuma</w:t>
            </w:r>
          </w:p>
        </w:tc>
      </w:tr>
      <w:tr>
        <w:trPr>
          <w:cantSplit w:val="0"/>
          <w:tblHeader w:val="0"/>
        </w:trPr>
        <w:tc>
          <w:tcPr>
            <w:vAlign w:val="center"/>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Orientación</w:t>
            </w:r>
          </w:p>
        </w:tc>
        <w:tc>
          <w:tcPr>
            <w:vAlign w:val="center"/>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Muchos analizadores deben ir en posición vertical. Ver manual específico</w:t>
            </w:r>
          </w:p>
        </w:tc>
      </w:tr>
    </w:tbl>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Recomendaciones finales:</w:t>
      </w:r>
    </w:p>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transportes nunca los analizadores con gases conectados o presurizados.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uses estuches genéricos sin pruebas de caída.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expongas sensores activos a cambios bruscos de humedad y temperatura.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utilices espuma que degrade químicamente con el tiempo (puede liberar VOCs que dañan los sensores).</w:t>
      </w:r>
    </w:p>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Pasos para el ingreso al área de pruebas:</w:t>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asigna una identificación </w:t>
      </w:r>
      <w:r w:rsidDel="00000000" w:rsidR="00000000" w:rsidRPr="00000000">
        <w:rPr>
          <w:rFonts w:ascii="Arial" w:cs="Arial" w:eastAsia="Arial" w:hAnsi="Arial"/>
          <w:sz w:val="22"/>
          <w:szCs w:val="22"/>
          <w:rtl w:val="0"/>
        </w:rPr>
        <w:t xml:space="preserve">única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w:t>
      </w:r>
      <w:r w:rsidDel="00000000" w:rsidR="00000000" w:rsidRPr="00000000">
        <w:rPr>
          <w:rFonts w:ascii="Arial" w:cs="Arial" w:eastAsia="Arial" w:hAnsi="Arial"/>
          <w:sz w:val="22"/>
          <w:szCs w:val="22"/>
          <w:rtl w:val="0"/>
        </w:rPr>
        <w:t xml:space="preserve">inequívoca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parte del Profesional de Proyectos, para que sea adherida al equipo / analizador, mientras dure la prueba.</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momento del ingreso </w:t>
      </w:r>
      <w:r w:rsidDel="00000000" w:rsidR="00000000" w:rsidRPr="00000000">
        <w:rPr>
          <w:rFonts w:ascii="Arial" w:cs="Arial" w:eastAsia="Arial" w:hAnsi="Arial"/>
          <w:sz w:val="22"/>
          <w:szCs w:val="22"/>
          <w:rtl w:val="0"/>
        </w:rPr>
        <w:t xml:space="preserve">tendrá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inspección general del estado físico del equipo por parte del Estudiante Auxiliar”, dejando registro del estado en que ingresa en el F-PSEA-01 Estado Instrumentos de Medición Ensayos de Aptitud. De igual forma, al finalizar las pruebas se dejará registro del estado en que sale el equipo.</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equipo siempre deberá estar custodiado por el personal externo autorizado (participante).</w:t>
      </w:r>
    </w:p>
    <w:sectPr>
      <w:headerReference r:id="rId7" w:type="default"/>
      <w:headerReference r:id="rId8" w:type="first"/>
      <w:headerReference r:id="rId9" w:type="even"/>
      <w:footerReference r:id="rId10" w:type="default"/>
      <w:footerReference r:id="rId11" w:type="first"/>
      <w:footerReference r:id="rId12" w:type="even"/>
      <w:pgSz w:h="12242" w:w="15842" w:orient="landscape"/>
      <w:pgMar w:bottom="1440" w:top="1440" w:left="1080" w:right="10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5"/>
      <w:tblW w:w="13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9072"/>
      <w:gridCol w:w="2574"/>
      <w:tblGridChange w:id="0">
        <w:tblGrid>
          <w:gridCol w:w="2245"/>
          <w:gridCol w:w="9072"/>
          <w:gridCol w:w="2574"/>
        </w:tblGrid>
      </w:tblGridChange>
    </w:tblGrid>
    <w:tr>
      <w:trPr>
        <w:cantSplit w:val="1"/>
        <w:tblHeader w:val="0"/>
      </w:trPr>
      <w:tc>
        <w:tcPr>
          <w:vMerge w:val="restart"/>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114300" distR="114300">
                <wp:extent cx="1258570" cy="533400"/>
                <wp:effectExtent b="0" l="0" r="0" t="0"/>
                <wp:docPr descr="Escudo PowerPoint" id="1027" name="image1.png"/>
                <a:graphic>
                  <a:graphicData uri="http://schemas.openxmlformats.org/drawingml/2006/picture">
                    <pic:pic>
                      <pic:nvPicPr>
                        <pic:cNvPr descr="Escudo PowerPoint" id="0" name="image1.png"/>
                        <pic:cNvPicPr preferRelativeResize="0"/>
                      </pic:nvPicPr>
                      <pic:blipFill>
                        <a:blip r:embed="rId1"/>
                        <a:srcRect b="0" l="0" r="0" t="0"/>
                        <a:stretch>
                          <a:fillRect/>
                        </a:stretch>
                      </pic:blipFill>
                      <pic:spPr>
                        <a:xfrm>
                          <a:off x="0" y="0"/>
                          <a:ext cx="1258570" cy="533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LABORATORIO DE CALIDAD DEL AIRE</w:t>
          </w: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Código: I-PSEA-01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after="120" w:before="12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INSTRUCTIVO DE EMBALAJE Y TRANSPORTE DE EQUIPOS DE MEDICIÓN</w:t>
          </w:r>
        </w:p>
      </w:tc>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Página </w:t>
          </w:r>
          <w:r w:rsidDel="00000000" w:rsidR="00000000" w:rsidRPr="00000000">
            <w:rPr>
              <w:rFonts w:ascii="Arial" w:cs="Arial" w:eastAsia="Arial" w:hAnsi="Arial"/>
              <w:b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color w:val="000000"/>
              <w:sz w:val="20"/>
              <w:szCs w:val="20"/>
              <w:rtl w:val="0"/>
            </w:rPr>
            <w:t xml:space="preserve"> de </w:t>
          </w:r>
          <w:r w:rsidDel="00000000" w:rsidR="00000000" w:rsidRPr="00000000">
            <w:rPr>
              <w:rFonts w:ascii="Arial" w:cs="Arial" w:eastAsia="Arial" w:hAnsi="Arial"/>
              <w:b w:val="1"/>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hanging="1"/>
    </w:pPr>
    <w:rPr>
      <w:rFonts w:ascii="Arial" w:cs="Arial" w:eastAsia="Arial" w:hAnsi="Arial"/>
      <w:b w:val="1"/>
      <w:sz w:val="32"/>
      <w:szCs w:val="32"/>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Encabezado">
    <w:name w:val="head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lang w:eastAsia="es-ES" w:val="es-ES"/>
    </w:rPr>
  </w:style>
  <w:style w:type="paragraph" w:styleId="Piedepgina">
    <w:name w:val="foot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lang w:eastAsia="es-ES" w:val="es-ES"/>
    </w:rPr>
  </w:style>
  <w:style w:type="paragraph" w:styleId="Textodeglobo">
    <w:name w:val="Balloon Text"/>
    <w:basedOn w:val="Normal"/>
    <w:pPr>
      <w:suppressAutoHyphens w:val="1"/>
      <w:spacing w:line="1" w:lineRule="atLeast"/>
      <w:ind w:left="-1" w:leftChars="-1" w:hanging="1" w:hangingChars="1"/>
      <w:textDirection w:val="btLr"/>
      <w:textAlignment w:val="top"/>
      <w:outlineLvl w:val="0"/>
    </w:pPr>
    <w:rPr>
      <w:rFonts w:ascii="Tahoma" w:cs="Tahoma" w:hAnsi="Tahoma"/>
      <w:position w:val="-1"/>
      <w:sz w:val="16"/>
      <w:szCs w:val="16"/>
      <w:lang w:eastAsia="es-ES" w:val="es-ES"/>
    </w:rPr>
  </w:style>
  <w:style w:type="character" w:styleId="Refdecomentario">
    <w:name w:val="annotation reference"/>
    <w:rPr>
      <w:w w:val="100"/>
      <w:position w:val="-1"/>
      <w:sz w:val="16"/>
      <w:szCs w:val="16"/>
      <w:effect w:val="none"/>
      <w:vertAlign w:val="baseline"/>
      <w:cs w:val="0"/>
      <w:em w:val="none"/>
    </w:rPr>
  </w:style>
  <w:style w:type="paragraph" w:styleId="Textocomentario">
    <w:name w:val="annotation text"/>
    <w:basedOn w:val="Normal"/>
    <w:pPr>
      <w:suppressAutoHyphens w:val="1"/>
      <w:spacing w:line="1" w:lineRule="atLeast"/>
      <w:ind w:left="-1" w:leftChars="-1" w:hanging="1" w:hangingChars="1"/>
      <w:textDirection w:val="btLr"/>
      <w:textAlignment w:val="top"/>
      <w:outlineLvl w:val="0"/>
    </w:pPr>
    <w:rPr>
      <w:position w:val="-1"/>
      <w:sz w:val="20"/>
      <w:szCs w:val="20"/>
      <w:lang w:eastAsia="es-ES" w:val="es-ES"/>
    </w:rPr>
  </w:style>
  <w:style w:type="paragraph" w:styleId="Asuntodelcomentario">
    <w:name w:val="annotation subject"/>
    <w:basedOn w:val="Textocomentario"/>
    <w:next w:val="Textocomentario"/>
    <w:rPr>
      <w:b w:val="1"/>
      <w:bCs w:val="1"/>
    </w:rPr>
  </w:style>
  <w:style w:type="character" w:styleId="estilo101" w:customStyle="1">
    <w:name w:val="estilo101"/>
    <w:rPr>
      <w:rFonts w:ascii="Georgia" w:hAnsi="Georgia" w:hint="default"/>
      <w:w w:val="100"/>
      <w:position w:val="-1"/>
      <w:effect w:val="none"/>
      <w:vertAlign w:val="baseline"/>
      <w:cs w:val="0"/>
      <w:em w:val="none"/>
    </w:rPr>
  </w:style>
  <w:style w:type="paragraph" w:styleId="Textoindependiente">
    <w:name w:val="Body Text"/>
    <w:basedOn w:val="Normal"/>
    <w:pPr>
      <w:suppressAutoHyphens w:val="1"/>
      <w:spacing w:after="120" w:line="1" w:lineRule="atLeast"/>
      <w:ind w:left="-1" w:leftChars="-1" w:hanging="1" w:hangingChars="1"/>
      <w:textDirection w:val="btLr"/>
      <w:textAlignment w:val="top"/>
      <w:outlineLvl w:val="0"/>
    </w:pPr>
    <w:rPr>
      <w:position w:val="-1"/>
      <w:lang w:val="es-MX"/>
    </w:rPr>
  </w:style>
  <w:style w:type="character" w:styleId="TextoindependienteCar" w:customStyle="1">
    <w:name w:val="Texto independiente Car"/>
    <w:rPr>
      <w:w w:val="100"/>
      <w:position w:val="-1"/>
      <w:sz w:val="24"/>
      <w:szCs w:val="24"/>
      <w:effect w:val="none"/>
      <w:vertAlign w:val="baseline"/>
      <w:cs w:val="0"/>
      <w:em w:val="none"/>
      <w:lang w:val="es-MX"/>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customStyle="1">
    <w:name w:val="eacep1"/>
    <w:rPr>
      <w:color w:val="000000"/>
      <w:w w:val="100"/>
      <w:position w:val="-1"/>
      <w:effect w:val="none"/>
      <w:vertAlign w:val="baseline"/>
      <w:cs w:val="0"/>
      <w:em w:val="none"/>
    </w:rPr>
  </w:style>
  <w:style w:type="paragraph" w:styleId="Prrafodelista">
    <w:name w:val="List Paragraph"/>
    <w:basedOn w:val="Normal"/>
    <w:pPr>
      <w:suppressAutoHyphens w:val="1"/>
      <w:spacing w:line="1" w:lineRule="atLeast"/>
      <w:ind w:left="708" w:leftChars="-1" w:hanging="1" w:hangingChars="1"/>
      <w:textDirection w:val="btLr"/>
      <w:textAlignment w:val="top"/>
      <w:outlineLvl w:val="0"/>
    </w:pPr>
    <w:rPr>
      <w:position w:val="-1"/>
      <w:lang w:eastAsia="es-ES" w:val="es-MX"/>
    </w:rPr>
  </w:style>
  <w:style w:type="character" w:styleId="Hipervnculo">
    <w:name w:val="Hyperlink"/>
    <w:rPr>
      <w:color w:val="0000ff"/>
      <w:w w:val="100"/>
      <w:position w:val="-1"/>
      <w:u w:val="single"/>
      <w:effect w:val="none"/>
      <w:vertAlign w:val="baseline"/>
      <w:cs w:val="0"/>
      <w:em w:val="none"/>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unhideWhenUsed w:val="1"/>
    <w:rsid w:val="003163A0"/>
    <w:pPr>
      <w:spacing w:after="100" w:afterAutospacing="1" w:before="100" w:beforeAutospacing="1"/>
    </w:pPr>
    <w:rPr>
      <w:lang w:val="es-CO"/>
    </w:rPr>
  </w:style>
  <w:style w:type="paragraph" w:styleId="p1" w:customStyle="1">
    <w:name w:val="p1"/>
    <w:basedOn w:val="Normal"/>
    <w:rsid w:val="003163A0"/>
    <w:rPr>
      <w:rFonts w:ascii="Helvetica" w:hAnsi="Helvetica"/>
      <w:color w:val="000000"/>
      <w:sz w:val="14"/>
      <w:szCs w:val="14"/>
      <w:lang w:val="es-CO"/>
    </w:rPr>
  </w:style>
  <w:style w:type="character" w:styleId="Textoennegrita">
    <w:name w:val="Strong"/>
    <w:basedOn w:val="Fuentedeprrafopredeter"/>
    <w:uiPriority w:val="22"/>
    <w:qFormat w:val="1"/>
    <w:rsid w:val="00F162E0"/>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B4I7Usyz/dqog45XR1kG4QLL5g==">CgMxLjAyDmgudWNqZXlqeGFvOHFjMg5oLnU4eWMzczNrNWRkMjgAciExSXJvTmtZUzJ3TGJobzQtY2p1QWwybVpMR3ZqOEEyYlk=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2017-12-21T17:01:00Z</dcterms:created>
  <dc:creator>UNIVERSIDAD NACIONAL</dc:creator>
</cp:coreProperties>
</file>