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el gas ozono.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24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w:t>
            </w:r>
          </w:p>
          <w:p w:rsidR="00000000" w:rsidDel="00000000" w:rsidP="00000000" w:rsidRDefault="00000000" w:rsidRPr="00000000" w14:paraId="00000006">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Item de ensayo - ozono</w:t>
            </w:r>
            <w:r w:rsidDel="00000000" w:rsidR="00000000" w:rsidRPr="00000000">
              <w:rPr>
                <w:rFonts w:ascii="Arial" w:cs="Arial" w:eastAsia="Arial" w:hAnsi="Arial"/>
                <w:sz w:val="22"/>
                <w:szCs w:val="22"/>
                <w:rtl w:val="0"/>
              </w:rPr>
              <w:t xml:space="preserve"> El ítem de ensayo es una atmósfera de ozono en aire cero generadas dinámicamente a partir de un generador de ozono con fotómetro nivel 2 en la cadena de trazabilidad de ozono suministradas a través de un colector de distribución.</w:t>
            </w:r>
          </w:p>
          <w:p w:rsidR="00000000" w:rsidDel="00000000" w:rsidP="00000000" w:rsidRDefault="00000000" w:rsidRPr="00000000" w14:paraId="0000000C">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p>
          <w:p w:rsidR="00000000" w:rsidDel="00000000" w:rsidP="00000000" w:rsidRDefault="00000000" w:rsidRPr="00000000" w14:paraId="0000000D">
            <w:pPr>
              <w:spacing w:after="120" w:before="120" w:line="24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p>
          <w:p w:rsidR="00000000" w:rsidDel="00000000" w:rsidP="00000000" w:rsidRDefault="00000000" w:rsidRPr="00000000" w14:paraId="0000000F">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10">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p>
          <w:p w:rsidR="00000000" w:rsidDel="00000000" w:rsidP="00000000" w:rsidRDefault="00000000" w:rsidRPr="00000000" w14:paraId="00000011">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rsidR="00000000" w:rsidDel="00000000" w:rsidP="00000000" w:rsidRDefault="00000000" w:rsidRPr="00000000" w14:paraId="00000012">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p w:rsidR="00000000" w:rsidDel="00000000" w:rsidP="00000000" w:rsidRDefault="00000000" w:rsidRPr="00000000" w14:paraId="00000013">
            <w:pPr>
              <w:spacing w:after="120" w:before="120" w:line="240" w:lineRule="auto"/>
              <w:jc w:val="both"/>
              <w:rPr>
                <w:rFonts w:ascii="Arial" w:cs="Arial" w:eastAsia="Arial" w:hAnsi="Arial"/>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240"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w:t>
            </w:r>
          </w:p>
          <w:p w:rsidR="00000000" w:rsidDel="00000000" w:rsidP="00000000" w:rsidRDefault="00000000" w:rsidRPr="00000000" w14:paraId="00000015">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6">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7">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P-PSEA-01 Protocolo General De Ensayo De Aptitud Para Gases Contaminantes Criterio</w:t>
            </w:r>
          </w:p>
          <w:p w:rsidR="00000000" w:rsidDel="00000000" w:rsidP="00000000" w:rsidRDefault="00000000" w:rsidRPr="00000000" w14:paraId="00000018">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19">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A">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B">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C">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D">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E">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F">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2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ozono troposférico en aire cero, .elaboradas dinámicamente mediante el uso de un generador de ozono con fotómetro nivel 2 en la cadena de trazabilidad. El gas es suministrado a través de un manifold de distribución de vidrio para asegurar la inercia del material y la homogeneidad de la muestra.</w:t>
            </w:r>
          </w:p>
          <w:p w:rsidR="00000000" w:rsidDel="00000000" w:rsidP="00000000" w:rsidRDefault="00000000" w:rsidRPr="00000000" w14:paraId="0000002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2">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O</w:t>
            </w:r>
            <w:r w:rsidDel="00000000" w:rsidR="00000000" w:rsidRPr="00000000">
              <w:rPr>
                <w:rFonts w:ascii="Arial" w:cs="Arial" w:eastAsia="Arial" w:hAnsi="Arial"/>
                <w:color w:val="1b1c1d"/>
                <w:sz w:val="22"/>
                <w:szCs w:val="22"/>
                <w:vertAlign w:val="subscript"/>
                <w:rtl w:val="0"/>
              </w:rPr>
              <w:t xml:space="preserve">3</w:t>
            </w:r>
            <w:r w:rsidDel="00000000" w:rsidR="00000000" w:rsidRPr="00000000">
              <w:rPr>
                <w:rFonts w:ascii="Arial" w:cs="Arial" w:eastAsia="Arial" w:hAnsi="Arial"/>
                <w:color w:val="1b1c1d"/>
                <w:sz w:val="22"/>
                <w:szCs w:val="22"/>
                <w:rtl w:val="0"/>
              </w:rPr>
              <w:t xml:space="preserve">. La concentración nominal se refiere a la concentración fijada en el calibrador dinámico.</w:t>
            </w:r>
          </w:p>
          <w:p w:rsidR="00000000" w:rsidDel="00000000" w:rsidP="00000000" w:rsidRDefault="00000000" w:rsidRPr="00000000" w14:paraId="00000024">
            <w:pPr>
              <w:widowControl w:val="0"/>
              <w:spacing w:after="24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5">
            <w:pPr>
              <w:widowControl w:val="0"/>
              <w:spacing w:after="240" w:line="240" w:lineRule="auto"/>
              <w:rPr>
                <w:rFonts w:ascii="Arial" w:cs="Arial" w:eastAsia="Arial" w:hAnsi="Arial"/>
                <w:color w:val="1b1c1d"/>
                <w:sz w:val="22"/>
                <w:szCs w:val="22"/>
                <w:vertAlign w:val="subscript"/>
              </w:rPr>
            </w:pPr>
            <w:r w:rsidDel="00000000" w:rsidR="00000000" w:rsidRPr="00000000">
              <w:rPr>
                <w:rFonts w:ascii="Arial" w:cs="Arial" w:eastAsia="Arial" w:hAnsi="Arial"/>
                <w:b w:val="1"/>
                <w:bCs w:val="1"/>
                <w:color w:val="1b1c1d"/>
                <w:sz w:val="22"/>
                <w:szCs w:val="22"/>
                <w:rtl w:val="0"/>
              </w:rPr>
              <w:t xml:space="preserve">Concentraciones de O</w:t>
            </w:r>
            <w:r w:rsidDel="00000000" w:rsidR="00000000" w:rsidRPr="00000000">
              <w:rPr>
                <w:rFonts w:ascii="Arial" w:cs="Arial" w:eastAsia="Arial" w:hAnsi="Arial"/>
                <w:b w:val="1"/>
                <w:bCs w:val="1"/>
                <w:color w:val="1b1c1d"/>
                <w:sz w:val="22"/>
                <w:szCs w:val="22"/>
                <w:vertAlign w:val="subscript"/>
                <w:rtl w:val="0"/>
              </w:rPr>
              <w:t xml:space="preserve">3</w:t>
            </w:r>
            <w:r w:rsidDel="00000000" w:rsidR="00000000" w:rsidRPr="00000000">
              <w:rPr>
                <w:rtl w:val="0"/>
              </w:rPr>
            </w:r>
          </w:p>
          <w:sdt>
            <w:sdtPr>
              <w:lock w:val="contentLocked"/>
              <w:id w:val="-1659164394"/>
              <w:tag w:val="goog_rdk_0"/>
            </w:sdtPr>
            <w:sdtContent>
              <w:tbl>
                <w:tblPr>
                  <w:tblStyle w:val="Table3"/>
                  <w:tblW w:w="10631.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75"/>
                  <w:gridCol w:w="3543.75"/>
                  <w:gridCol w:w="3543.75"/>
                  <w:tblGridChange w:id="0">
                    <w:tblGrid>
                      <w:gridCol w:w="3543.75"/>
                      <w:gridCol w:w="3543.75"/>
                      <w:gridCol w:w="3543.75"/>
                    </w:tblGrid>
                  </w:tblGridChange>
                </w:tblGrid>
                <w:tr>
                  <w:trPr>
                    <w:cantSplit w:val="0"/>
                    <w:trHeight w:val="165" w:hRule="atLeast"/>
                    <w:tblHeader w:val="0"/>
                  </w:trPr>
                  <w:tc>
                    <w:tcPr>
                      <w:gridSpan w:val="3"/>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rFonts w:ascii="Arial" w:cs="Arial" w:eastAsia="Arial" w:hAnsi="Arial"/>
                          <w:b w:val="1"/>
                          <w:bCs w:val="1"/>
                          <w:color w:val="1b1c1d"/>
                          <w:sz w:val="22"/>
                          <w:szCs w:val="22"/>
                          <w:vertAlign w:val="subscript"/>
                        </w:rPr>
                      </w:pPr>
                      <w:r w:rsidDel="00000000" w:rsidR="00000000" w:rsidRPr="00000000">
                        <w:rPr>
                          <w:rFonts w:ascii="Arial" w:cs="Arial" w:eastAsia="Arial" w:hAnsi="Arial"/>
                          <w:b w:val="1"/>
                          <w:bCs w:val="1"/>
                          <w:color w:val="1b1c1d"/>
                          <w:sz w:val="22"/>
                          <w:szCs w:val="22"/>
                          <w:rtl w:val="0"/>
                        </w:rPr>
                        <w:t xml:space="preserve">Tabla 1. Concentraciones referencia para O</w:t>
                      </w:r>
                      <w:r w:rsidDel="00000000" w:rsidR="00000000" w:rsidRPr="00000000">
                        <w:rPr>
                          <w:rFonts w:ascii="Arial" w:cs="Arial" w:eastAsia="Arial" w:hAnsi="Arial"/>
                          <w:b w:val="1"/>
                          <w:bCs w:val="1"/>
                          <w:color w:val="1b1c1d"/>
                          <w:sz w:val="22"/>
                          <w:szCs w:val="22"/>
                          <w:vertAlign w:val="subscript"/>
                          <w:rtl w:val="0"/>
                        </w:rPr>
                        <w:t xml:space="preserve">3</w:t>
                      </w:r>
                    </w:p>
                  </w:tc>
                </w:tr>
                <w:tr>
                  <w:trPr>
                    <w:cantSplit w:val="0"/>
                    <w:trHeight w:val="12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Arial" w:cs="Arial" w:eastAsia="Arial" w:hAnsi="Arial"/>
                          <w:sz w:val="22"/>
                          <w:szCs w:val="22"/>
                          <w:vertAlign w:val="subscript"/>
                        </w:rPr>
                      </w:pPr>
                      <w:r w:rsidDel="00000000" w:rsidR="00000000" w:rsidRPr="00000000">
                        <w:rPr>
                          <w:rFonts w:ascii="Arial" w:cs="Arial" w:eastAsia="Arial" w:hAnsi="Arial"/>
                          <w:b w:val="1"/>
                          <w:bCs w:val="1"/>
                          <w:color w:val="1b1c1d"/>
                          <w:sz w:val="22"/>
                          <w:szCs w:val="22"/>
                          <w:rtl w:val="0"/>
                        </w:rPr>
                        <w:t xml:space="preserve">Concentración Nominal O</w:t>
                      </w:r>
                      <w:r w:rsidDel="00000000" w:rsidR="00000000" w:rsidRPr="00000000">
                        <w:rPr>
                          <w:rFonts w:ascii="Arial" w:cs="Arial" w:eastAsia="Arial" w:hAnsi="Arial"/>
                          <w:b w:val="1"/>
                          <w:bCs w:val="1"/>
                          <w:color w:val="1b1c1d"/>
                          <w:sz w:val="22"/>
                          <w:szCs w:val="22"/>
                          <w:vertAlign w:val="subscript"/>
                          <w:rtl w:val="0"/>
                        </w:rPr>
                        <w:t xml:space="preserve">3</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3B">
            <w:pPr>
              <w:widowControl w:val="0"/>
              <w:spacing w:after="240" w:before="0" w:line="240" w:lineRule="auto"/>
              <w:rPr>
                <w:rFonts w:ascii="Arial" w:cs="Arial" w:eastAsia="Arial" w:hAnsi="Arial"/>
                <w:color w:val="1b1c1d"/>
                <w:sz w:val="22"/>
                <w:szCs w:val="22"/>
              </w:rPr>
            </w:pPr>
            <w:r w:rsidDel="00000000" w:rsidR="00000000" w:rsidRPr="00000000">
              <w:rPr>
                <w:rFonts w:ascii="Arial" w:cs="Arial" w:eastAsia="Arial" w:hAnsi="Arial"/>
                <w:b w:val="1"/>
                <w:bCs w:val="1"/>
                <w:color w:val="1b1c1d"/>
                <w:sz w:val="22"/>
                <w:szCs w:val="22"/>
                <w:rtl w:val="0"/>
              </w:rPr>
              <w:t xml:space="preserve">*Todas las concentraciones en la tabla son nominales expresadas en </w:t>
            </w:r>
            <w:r w:rsidDel="00000000" w:rsidR="00000000" w:rsidRPr="00000000">
              <w:rPr>
                <w:rFonts w:ascii="Arial" w:cs="Arial" w:eastAsia="Arial" w:hAnsi="Arial"/>
                <w:b w:val="1"/>
                <w:bCs w:val="1"/>
                <w:color w:val="1b1c1d"/>
                <w:sz w:val="22"/>
                <w:szCs w:val="22"/>
                <w:rtl w:val="0"/>
              </w:rPr>
              <w:t xml:space="preserve">nmol/mol</w:t>
            </w:r>
            <w:r w:rsidDel="00000000" w:rsidR="00000000" w:rsidRPr="00000000">
              <w:rPr>
                <w:rtl w:val="0"/>
              </w:rPr>
            </w:r>
          </w:p>
          <w:p w:rsidR="00000000" w:rsidDel="00000000" w:rsidP="00000000" w:rsidRDefault="00000000" w:rsidRPr="00000000" w14:paraId="0000003C">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3D">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p>
          <w:p w:rsidR="00000000" w:rsidDel="00000000" w:rsidP="00000000" w:rsidRDefault="00000000" w:rsidRPr="00000000" w14:paraId="0000003F">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0">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1">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2">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3">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4">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45">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rsidR="00000000" w:rsidDel="00000000" w:rsidP="00000000" w:rsidRDefault="00000000" w:rsidRPr="00000000" w14:paraId="0000004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7">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4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rsidR="00000000" w:rsidDel="00000000" w:rsidP="00000000" w:rsidRDefault="00000000" w:rsidRPr="00000000" w14:paraId="00000049">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A">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rsidR="00000000" w:rsidDel="00000000" w:rsidP="00000000" w:rsidRDefault="00000000" w:rsidRPr="00000000" w14:paraId="0000004B">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C">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13477994"/>
              <w:tag w:val="goog_rdk_1"/>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9024938" cy="4775465"/>
                            <wp:effectExtent b="0" l="0" r="0" t="0"/>
                            <wp:docPr id="1047" name="image6.png"/>
                            <a:graphic>
                              <a:graphicData uri="http://schemas.openxmlformats.org/drawingml/2006/picture">
                                <pic:pic>
                                  <pic:nvPicPr>
                                    <pic:cNvPr id="0" name="image6.png"/>
                                    <pic:cNvPicPr preferRelativeResize="0"/>
                                  </pic:nvPicPr>
                                  <pic:blipFill>
                                    <a:blip r:embed="rId7"/>
                                    <a:srcRect b="15958" l="22199" r="8879" t="15571"/>
                                    <a:stretch>
                                      <a:fillRect/>
                                    </a:stretch>
                                  </pic:blipFill>
                                  <pic:spPr>
                                    <a:xfrm>
                                      <a:off x="0" y="0"/>
                                      <a:ext cx="9024938" cy="477546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Revisión gráfica de datos atípicos</w:t>
                      </w:r>
                    </w:p>
                  </w:tc>
                </w:tr>
              </w:tbl>
            </w:sdtContent>
          </w:sdt>
          <w:p w:rsidR="00000000" w:rsidDel="00000000" w:rsidP="00000000" w:rsidRDefault="00000000" w:rsidRPr="00000000" w14:paraId="0000004F">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0">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6732723"/>
              <w:tag w:val="goog_rdk_2"/>
            </w:sdtPr>
            <w:sdtContent>
              <w:tbl>
                <w:tblPr>
                  <w:tblStyle w:val="Table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8967788" cy="3984162"/>
                            <wp:effectExtent b="0" l="0" r="0" t="0"/>
                            <wp:docPr id="1042" name="image9.png"/>
                            <a:graphic>
                              <a:graphicData uri="http://schemas.openxmlformats.org/drawingml/2006/picture">
                                <pic:pic>
                                  <pic:nvPicPr>
                                    <pic:cNvPr id="0" name="image9.png"/>
                                    <pic:cNvPicPr preferRelativeResize="0"/>
                                  </pic:nvPicPr>
                                  <pic:blipFill>
                                    <a:blip r:embed="rId8"/>
                                    <a:srcRect b="32843" l="22093" r="8668" t="9447"/>
                                    <a:stretch>
                                      <a:fillRect/>
                                    </a:stretch>
                                  </pic:blipFill>
                                  <pic:spPr>
                                    <a:xfrm>
                                      <a:off x="0" y="0"/>
                                      <a:ext cx="8967788" cy="3984162"/>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Resultados Prueba de Grubbs para valores atípicos</w:t>
                      </w:r>
                    </w:p>
                  </w:tc>
                </w:tr>
              </w:tbl>
            </w:sdtContent>
          </w:sdt>
          <w:p w:rsidR="00000000" w:rsidDel="00000000" w:rsidP="00000000" w:rsidRDefault="00000000" w:rsidRPr="00000000" w14:paraId="00000053">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5">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56">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5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 </w:t>
            </w:r>
          </w:p>
          <w:p w:rsidR="00000000" w:rsidDel="00000000" w:rsidP="00000000" w:rsidRDefault="00000000" w:rsidRPr="00000000" w14:paraId="00000058">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9">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p>
          <w:p w:rsidR="00000000" w:rsidDel="00000000" w:rsidP="00000000" w:rsidRDefault="00000000" w:rsidRPr="00000000" w14:paraId="0000005A">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w:t>
            </w:r>
          </w:p>
          <w:p w:rsidR="00000000" w:rsidDel="00000000" w:rsidP="00000000" w:rsidRDefault="00000000" w:rsidRPr="00000000" w14:paraId="0000005B">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408771281"/>
              <w:tag w:val="goog_rdk_3"/>
            </w:sdtPr>
            <w:sdtContent>
              <w:tbl>
                <w:tblPr>
                  <w:tblStyle w:val="Table6"/>
                  <w:tblW w:w="144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5E">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F">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2082863834"/>
              <w:tag w:val="goog_rdk_5"/>
            </w:sdtPr>
            <w:sdtContent>
              <w:tbl>
                <w:tblPr>
                  <w:tblStyle w:val="Table7"/>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Arial" w:cs="Arial" w:eastAsia="Arial" w:hAnsi="Arial"/>
                          <w:color w:val="1b1c1d"/>
                          <w:sz w:val="22"/>
                          <w:szCs w:val="22"/>
                        </w:rPr>
                      </w:pPr>
                      <w:sdt>
                        <w:sdtPr>
                          <w:id w:val="2001786220"/>
                          <w:tag w:val="goog_rdk_4"/>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62">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3">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272579174"/>
              <w:tag w:val="goog_rdk_6"/>
            </w:sdtPr>
            <w:sdtContent>
              <w:tbl>
                <w:tblPr>
                  <w:tblStyle w:val="Table8"/>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uref​=ucal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​+uEC</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​+uinfl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66">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7">
            <w:pPr>
              <w:widowControl w:val="0"/>
              <w:spacing w:after="12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68">
            <w:pPr>
              <w:widowControl w:val="0"/>
              <w:numPr>
                <w:ilvl w:val="0"/>
                <w:numId w:val="2"/>
              </w:numPr>
              <w:spacing w:after="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ucal</w:t>
            </w:r>
            <w:r w:rsidDel="00000000" w:rsidR="00000000" w:rsidRPr="00000000">
              <w:rPr>
                <w:rFonts w:ascii="Arial" w:cs="Arial" w:eastAsia="Arial" w:hAnsi="Arial"/>
                <w:color w:val="1b1c1d"/>
                <w:sz w:val="22"/>
                <w:szCs w:val="22"/>
                <w:rtl w:val="0"/>
              </w:rPr>
              <w:t xml:space="preserve">: Incertidumbre del gas de calibración y del sistema de dilución.</w:t>
            </w:r>
            <w:r w:rsidDel="00000000" w:rsidR="00000000" w:rsidRPr="00000000">
              <w:rPr>
                <w:rtl w:val="0"/>
              </w:rPr>
            </w:r>
          </w:p>
          <w:p w:rsidR="00000000" w:rsidDel="00000000" w:rsidP="00000000" w:rsidRDefault="00000000" w:rsidRPr="00000000" w14:paraId="00000069">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ur</w:t>
            </w:r>
            <w:r w:rsidDel="00000000" w:rsidR="00000000" w:rsidRPr="00000000">
              <w:rPr>
                <w:rFonts w:ascii="Arial" w:cs="Arial" w:eastAsia="Arial" w:hAnsi="Arial"/>
                <w:color w:val="1b1c1d"/>
                <w:sz w:val="22"/>
                <w:szCs w:val="22"/>
                <w:rtl w:val="0"/>
              </w:rPr>
              <w:t xml:space="preserve">: Incertidumbre por repetibilidad a corto plazo (ruido del instrumento).</w:t>
            </w:r>
            <w:r w:rsidDel="00000000" w:rsidR="00000000" w:rsidRPr="00000000">
              <w:rPr>
                <w:rtl w:val="0"/>
              </w:rPr>
            </w:r>
          </w:p>
          <w:p w:rsidR="00000000" w:rsidDel="00000000" w:rsidP="00000000" w:rsidRDefault="00000000" w:rsidRPr="00000000" w14:paraId="0000006A">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ulof</w:t>
            </w:r>
            <w:r w:rsidDel="00000000" w:rsidR="00000000" w:rsidRPr="00000000">
              <w:rPr>
                <w:rFonts w:ascii="Arial" w:cs="Arial" w:eastAsia="Arial" w:hAnsi="Arial"/>
                <w:color w:val="1b1c1d"/>
                <w:sz w:val="22"/>
                <w:szCs w:val="22"/>
                <w:rtl w:val="0"/>
              </w:rPr>
              <w:t xml:space="preserve">: Incertidumbre por falta de ajuste (no linealidad).</w:t>
            </w:r>
            <w:r w:rsidDel="00000000" w:rsidR="00000000" w:rsidRPr="00000000">
              <w:rPr>
                <w:rtl w:val="0"/>
              </w:rPr>
            </w:r>
          </w:p>
          <w:p w:rsidR="00000000" w:rsidDel="00000000" w:rsidP="00000000" w:rsidRDefault="00000000" w:rsidRPr="00000000" w14:paraId="0000006B">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ud</w:t>
            </w:r>
            <w:r w:rsidDel="00000000" w:rsidR="00000000" w:rsidRPr="00000000">
              <w:rPr>
                <w:rFonts w:ascii="Arial" w:cs="Arial" w:eastAsia="Arial" w:hAnsi="Arial"/>
                <w:color w:val="1b1c1d"/>
                <w:sz w:val="22"/>
                <w:szCs w:val="22"/>
                <w:rtl w:val="0"/>
              </w:rPr>
              <w:t xml:space="preserve">: Incertidumbre por deriva a largo plazo entre calibraciones.</w:t>
            </w:r>
            <w:r w:rsidDel="00000000" w:rsidR="00000000" w:rsidRPr="00000000">
              <w:rPr>
                <w:rtl w:val="0"/>
              </w:rPr>
            </w:r>
          </w:p>
          <w:p w:rsidR="00000000" w:rsidDel="00000000" w:rsidP="00000000" w:rsidRDefault="00000000" w:rsidRPr="00000000" w14:paraId="0000006C">
            <w:pPr>
              <w:widowControl w:val="0"/>
              <w:numPr>
                <w:ilvl w:val="0"/>
                <w:numId w:val="2"/>
              </w:numPr>
              <w:spacing w:after="12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uinfl</w:t>
            </w:r>
            <w:r w:rsidDel="00000000" w:rsidR="00000000" w:rsidRPr="00000000">
              <w:rPr>
                <w:rFonts w:ascii="Arial" w:cs="Arial" w:eastAsia="Arial" w:hAnsi="Arial"/>
                <w:color w:val="1b1c1d"/>
                <w:sz w:val="22"/>
                <w:szCs w:val="22"/>
                <w:rtl w:val="0"/>
              </w:rPr>
              <w:t xml:space="preserve">: Incertidumbre por influencias ambientales (temperatura, presión).</w:t>
            </w:r>
            <w:r w:rsidDel="00000000" w:rsidR="00000000" w:rsidRPr="00000000">
              <w:rPr>
                <w:rtl w:val="0"/>
              </w:rPr>
            </w:r>
          </w:p>
          <w:p w:rsidR="00000000" w:rsidDel="00000000" w:rsidP="00000000" w:rsidRDefault="00000000" w:rsidRPr="00000000" w14:paraId="0000006D">
            <w:pPr>
              <w:widowControl w:val="0"/>
              <w:spacing w:after="120" w:before="120" w:line="240" w:lineRule="auto"/>
              <w:rPr>
                <w:rFonts w:ascii="Arial" w:cs="Arial" w:eastAsia="Arial" w:hAnsi="Arial"/>
                <w:color w:val="1b1c1d"/>
                <w:sz w:val="22"/>
                <w:szCs w:val="22"/>
              </w:rPr>
            </w:pPr>
            <w:r w:rsidDel="00000000" w:rsidR="00000000" w:rsidRPr="00000000">
              <w:rPr>
                <w:rtl w:val="0"/>
              </w:rPr>
            </w:r>
          </w:p>
          <w:sdt>
            <w:sdtPr>
              <w:lock w:val="contentLocked"/>
              <w:id w:val="-735811124"/>
              <w:tag w:val="goog_rdk_7"/>
            </w:sdtPr>
            <w:sdtContent>
              <w:tbl>
                <w:tblPr>
                  <w:tblStyle w:val="Table9"/>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25"/>
                  <w:gridCol w:w="3581.25"/>
                  <w:gridCol w:w="3581.25"/>
                  <w:gridCol w:w="3581.25"/>
                  <w:tblGridChange w:id="0">
                    <w:tblGrid>
                      <w:gridCol w:w="3581.25"/>
                      <w:gridCol w:w="3581.25"/>
                      <w:gridCol w:w="3581.25"/>
                      <w:gridCol w:w="3581.25"/>
                    </w:tblGrid>
                  </w:tblGridChange>
                </w:tblGrid>
                <w:tr>
                  <w:trPr>
                    <w:cantSplit w:val="0"/>
                    <w:trHeight w:val="225" w:hRule="atLeast"/>
                    <w:tblHeader w:val="0"/>
                  </w:trPr>
                  <w:tc>
                    <w:tcPr>
                      <w:gridSpan w:val="4"/>
                      <w:tcBorders>
                        <w:top w:color="000000" w:space="0" w:sz="8" w:val="single"/>
                        <w:left w:color="000000" w:space="0" w:sz="8" w:val="single"/>
                        <w:bottom w:color="000000" w:space="0" w:sz="8"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6. Resumen de componentes para la estimación de la incertidumbre</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Componente de Incertidumbre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Específicos a Recolectar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de Recolección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7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 del Procedimiento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Trazabilidad del Patrón de Calibración (Fotómetro)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Del certificado del fotómetro de referencia: ID del equipo, incertidumbre expandida, declaración de trazabilidad a un SRP de NIST o equivalente.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Anual (al recibir certificado de calibración).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7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USEPA 40 CFR Part 50, App. D; EN 14625</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Linealidad (Falta de Ajuste)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promedio del analizador para al menos 5 concentraciones que cubran el rango de trabajo (incluyendo cero).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Anual, o después de un mantenimiento mayor.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 EN 14625</w:t>
                      </w:r>
                    </w:p>
                  </w:tc>
                </w:tr>
                <w:tr>
                  <w:trPr>
                    <w:cantSplit w:val="0"/>
                    <w:trHeight w:val="773.7011718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Repetibilidad (Ruido a Corto Plazo)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serie de 20 lecturas consecutivas e independientes del analizador a una concentración estable y conocida.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 cada ensayo de aptitud.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 EN 14625</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Estabilidad (Deriva a Largo Plazo)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de cero y de un gas de span conocido, registradas a lo largo del tiempo para determinar la deriva entre calibraciones.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Continuamente, evaluado previo al EA.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USEPA QA Handbook; 40 CFR Part 58 App 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Influencias Ambientales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Temperatura y presión barométrica máximas y mínimas registradas en el laboratorio durante el ensayo.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Continuamente durante el ensayo de aptitud.</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8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Mejor Práctica de Laboratorio; EN 14625</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Homogeneidad del Gas de Ensayo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de concentración del gas de ensayo tomadas desde al menos 3 puertos diferentes del colector de distribución.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del inicio del ensayo de aptitud.</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8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Protocolo AQUILA / ISO 13528</w:t>
                      </w:r>
                    </w:p>
                  </w:tc>
                </w:tr>
              </w:tbl>
            </w:sdtContent>
          </w:sdt>
          <w:p w:rsidR="00000000" w:rsidDel="00000000" w:rsidP="00000000" w:rsidRDefault="00000000" w:rsidRPr="00000000" w14:paraId="0000008E">
            <w:pPr>
              <w:widowControl w:val="0"/>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8F">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(σpt)</w:t>
            </w:r>
          </w:p>
          <w:p w:rsidR="00000000" w:rsidDel="00000000" w:rsidP="00000000" w:rsidRDefault="00000000" w:rsidRPr="00000000" w14:paraId="0000009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09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1687608695"/>
              <w:tag w:val="goog_rdk_9"/>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before="0" w:line="240" w:lineRule="auto"/>
                        <w:rPr>
                          <w:rFonts w:ascii="Arial" w:cs="Arial" w:eastAsia="Arial" w:hAnsi="Arial"/>
                          <w:color w:val="1b1c1d"/>
                          <w:sz w:val="22"/>
                          <w:szCs w:val="22"/>
                        </w:rPr>
                      </w:pPr>
                      <w:sdt>
                        <w:sdtPr>
                          <w:id w:val="502306635"/>
                          <w:tag w:val="goog_rdk_8"/>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095">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9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09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09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09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09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C">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1"/>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0" w:before="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Tabla 5.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rFonts w:ascii="Arial" w:cs="Arial" w:eastAsia="Arial" w:hAnsi="Arial"/>
                      <w:color w:val="1b1c1d"/>
                      <w:sz w:val="22"/>
                      <w:szCs w:val="22"/>
                      <w:vertAlign w:val="subscript"/>
                    </w:rPr>
                  </w:pPr>
                  <w:r w:rsidDel="00000000" w:rsidR="00000000" w:rsidRPr="00000000">
                    <w:rPr>
                      <w:rFonts w:ascii="Arial" w:cs="Arial" w:eastAsia="Arial" w:hAnsi="Arial"/>
                      <w:color w:val="1b1c1d"/>
                      <w:sz w:val="22"/>
                      <w:szCs w:val="22"/>
                      <w:rtl w:val="0"/>
                    </w:rPr>
                    <w:t xml:space="preserve">O</w:t>
                  </w:r>
                  <w:r w:rsidDel="00000000" w:rsidR="00000000" w:rsidRPr="00000000">
                    <w:rPr>
                      <w:rFonts w:ascii="Arial" w:cs="Arial" w:eastAsia="Arial" w:hAnsi="Arial"/>
                      <w:color w:val="1b1c1d"/>
                      <w:sz w:val="22"/>
                      <w:szCs w:val="22"/>
                      <w:vertAlign w:val="subscript"/>
                      <w:rtl w:val="0"/>
                    </w:rPr>
                    <w:t xml:space="preserve">3</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w:t>
                  </w:r>
                </w:p>
              </w:tc>
            </w:tr>
          </w:tbl>
          <w:p w:rsidR="00000000" w:rsidDel="00000000" w:rsidP="00000000" w:rsidRDefault="00000000" w:rsidRPr="00000000" w14:paraId="000000A9">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5d3mnus0gavw" w:id="10"/>
            <w:bookmarkEnd w:id="10"/>
            <w:r w:rsidDel="00000000" w:rsidR="00000000" w:rsidRPr="00000000">
              <w:rPr>
                <w:rtl w:val="0"/>
              </w:rPr>
            </w:r>
          </w:p>
          <w:p w:rsidR="00000000" w:rsidDel="00000000" w:rsidP="00000000" w:rsidRDefault="00000000" w:rsidRPr="00000000" w14:paraId="000000AA">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0A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iCs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iCs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1544644662"/>
              <w:tag w:val="goog_rdk_10"/>
            </w:sdtPr>
            <w:sdtContent>
              <w:tbl>
                <w:tblPr>
                  <w:tblStyle w:val="Table12"/>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43" name="image2.png"/>
                            <a:graphic>
                              <a:graphicData uri="http://schemas.openxmlformats.org/drawingml/2006/picture">
                                <pic:pic>
                                  <pic:nvPicPr>
                                    <pic:cNvPr id="0" name="image2.png"/>
                                    <pic:cNvPicPr preferRelativeResize="0"/>
                                  </pic:nvPicPr>
                                  <pic:blipFill>
                                    <a:blip r:embed="rId9"/>
                                    <a:srcRect b="0" l="0" r="60173"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0B1">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897195864"/>
              <w:tag w:val="goog_rdk_11"/>
            </w:sdtPr>
            <w:sdtContent>
              <w:tbl>
                <w:tblPr>
                  <w:tblStyle w:val="Table13"/>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4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0B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0B5">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6">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4"/>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6.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240" w:lineRule="auto"/>
                    <w:rPr>
                      <w:rFonts w:ascii="Arial" w:cs="Arial" w:eastAsia="Arial" w:hAnsi="Arial"/>
                      <w:sz w:val="22"/>
                      <w:szCs w:val="22"/>
                    </w:rPr>
                  </w:pPr>
                  <w:sdt>
                    <w:sdtPr>
                      <w:id w:val="-135208562"/>
                      <w:tag w:val="goog_rdk_12"/>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40" w:lineRule="auto"/>
                    <w:rPr>
                      <w:rFonts w:ascii="Arial" w:cs="Arial" w:eastAsia="Arial" w:hAnsi="Arial"/>
                      <w:sz w:val="22"/>
                      <w:szCs w:val="22"/>
                    </w:rPr>
                  </w:pPr>
                  <w:sdt>
                    <w:sdtPr>
                      <w:id w:val="805563800"/>
                      <w:tag w:val="goog_rdk_13"/>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before="0" w:line="240" w:lineRule="auto"/>
                    <w:rPr>
                      <w:rFonts w:ascii="Arial" w:cs="Arial" w:eastAsia="Arial" w:hAnsi="Arial"/>
                      <w:sz w:val="22"/>
                      <w:szCs w:val="22"/>
                    </w:rPr>
                  </w:pPr>
                  <w:sdt>
                    <w:sdtPr>
                      <w:id w:val="476941943"/>
                      <w:tag w:val="goog_rdk_14"/>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0CC">
            <w:pPr>
              <w:pStyle w:val="Heading1"/>
              <w:keepNext w:val="0"/>
              <w:keepLines w:val="0"/>
              <w:widowControl w:val="0"/>
              <w:spacing w:after="0" w:before="0" w:line="240" w:lineRule="auto"/>
              <w:rPr>
                <w:rFonts w:ascii="Arial" w:cs="Arial" w:eastAsia="Arial" w:hAnsi="Arial"/>
                <w:b w:val="0"/>
                <w:bCs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0CD">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sdt>
            <w:sdtPr>
              <w:lock w:val="contentLocked"/>
              <w:id w:val="-526961557"/>
              <w:tag w:val="goog_rdk_15"/>
            </w:sdtPr>
            <w:sdtContent>
              <w:tbl>
                <w:tblPr>
                  <w:tblStyle w:val="Table1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9020620" cy="3611058"/>
                            <wp:effectExtent b="0" l="0" r="0" t="0"/>
                            <wp:docPr id="1040" name="image8.png"/>
                            <a:graphic>
                              <a:graphicData uri="http://schemas.openxmlformats.org/drawingml/2006/picture">
                                <pic:pic>
                                  <pic:nvPicPr>
                                    <pic:cNvPr id="0" name="image8.png"/>
                                    <pic:cNvPicPr preferRelativeResize="0"/>
                                  </pic:nvPicPr>
                                  <pic:blipFill>
                                    <a:blip r:embed="rId12"/>
                                    <a:srcRect b="27882" l="23256" r="8879" t="21154"/>
                                    <a:stretch>
                                      <a:fillRect/>
                                    </a:stretch>
                                  </pic:blipFill>
                                  <pic:spPr>
                                    <a:xfrm>
                                      <a:off x="0" y="0"/>
                                      <a:ext cx="9020620" cy="361105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6138863" cy="5462335"/>
                            <wp:effectExtent b="0" l="0" r="0" t="0"/>
                            <wp:docPr id="1041" name="image10.png"/>
                            <a:graphic>
                              <a:graphicData uri="http://schemas.openxmlformats.org/drawingml/2006/picture">
                                <pic:pic>
                                  <pic:nvPicPr>
                                    <pic:cNvPr id="0" name="image10.png"/>
                                    <pic:cNvPicPr preferRelativeResize="0"/>
                                  </pic:nvPicPr>
                                  <pic:blipFill>
                                    <a:blip r:embed="rId13"/>
                                    <a:srcRect b="8230" l="29281" r="18922" t="5254"/>
                                    <a:stretch>
                                      <a:fillRect/>
                                    </a:stretch>
                                  </pic:blipFill>
                                  <pic:spPr>
                                    <a:xfrm>
                                      <a:off x="0" y="0"/>
                                      <a:ext cx="6138863" cy="546233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4810125" cy="3195437"/>
                            <wp:effectExtent b="0" l="0" r="0" t="0"/>
                            <wp:docPr id="1049" name="image7.png"/>
                            <a:graphic>
                              <a:graphicData uri="http://schemas.openxmlformats.org/drawingml/2006/picture">
                                <pic:pic>
                                  <pic:nvPicPr>
                                    <pic:cNvPr id="0" name="image7.png"/>
                                    <pic:cNvPicPr preferRelativeResize="0"/>
                                  </pic:nvPicPr>
                                  <pic:blipFill>
                                    <a:blip r:embed="rId14"/>
                                    <a:srcRect b="12285" l="0" r="0" t="0"/>
                                    <a:stretch>
                                      <a:fillRect/>
                                    </a:stretch>
                                  </pic:blipFill>
                                  <pic:spPr>
                                    <a:xfrm>
                                      <a:off x="0" y="0"/>
                                      <a:ext cx="4810125" cy="3195437"/>
                                    </a:xfrm>
                                    <a:prstGeom prst="rect"/>
                                    <a:ln/>
                                  </pic:spPr>
                                </pic:pic>
                              </a:graphicData>
                            </a:graphic>
                          </wp:inline>
                        </w:drawing>
                      </w:r>
                      <w:r w:rsidDel="00000000" w:rsidR="00000000" w:rsidRPr="00000000">
                        <w:rPr>
                          <w:rFonts w:ascii="Arial" w:cs="Arial" w:eastAsia="Arial" w:hAnsi="Arial"/>
                          <w:color w:val="1b1c1d"/>
                          <w:sz w:val="22"/>
                          <w:szCs w:val="22"/>
                        </w:rPr>
                        <w:drawing>
                          <wp:inline distB="114300" distT="114300" distL="114300" distR="114300">
                            <wp:extent cx="3738563" cy="3164123"/>
                            <wp:effectExtent b="0" l="0" r="0" t="0"/>
                            <wp:docPr id="1048" name="image5.png"/>
                            <a:graphic>
                              <a:graphicData uri="http://schemas.openxmlformats.org/drawingml/2006/picture">
                                <pic:pic>
                                  <pic:nvPicPr>
                                    <pic:cNvPr id="0" name="image5.png"/>
                                    <pic:cNvPicPr preferRelativeResize="0"/>
                                  </pic:nvPicPr>
                                  <pic:blipFill>
                                    <a:blip r:embed="rId15"/>
                                    <a:srcRect b="0" l="15179" r="0" t="6781"/>
                                    <a:stretch>
                                      <a:fillRect/>
                                    </a:stretch>
                                  </pic:blipFill>
                                  <pic:spPr>
                                    <a:xfrm>
                                      <a:off x="0" y="0"/>
                                      <a:ext cx="3738563" cy="316412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En la carga de datos, los participantes pueden cometer "blunders" como errores de tipeo, decimales, formato o asignación. Aunque los sistemas web son seguros, estos errores humanos persisten. Si se detectan, se contacta a los participantes para corregirlos antes del informe final.</w:t>
            </w:r>
            <w:r w:rsidDel="00000000" w:rsidR="00000000" w:rsidRPr="00000000">
              <w:rPr>
                <w:rtl w:val="0"/>
              </w:rPr>
            </w:r>
          </w:p>
          <w:p w:rsidR="00000000" w:rsidDel="00000000" w:rsidP="00000000" w:rsidRDefault="00000000" w:rsidRPr="00000000" w14:paraId="000000DA">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B">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0DC">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DD">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E">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6"/>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DF">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E0">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E1">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E2">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E3">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E4">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E5">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E6">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E7">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E8">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E9">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EA">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EB">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6"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7"/>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46" name="image3.png"/>
                <a:graphic>
                  <a:graphicData uri="http://schemas.openxmlformats.org/drawingml/2006/picture">
                    <pic:pic>
                      <pic:nvPicPr>
                        <pic:cNvPr descr="Sin título" id="0" name="image3.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1"/>
              <w:bCs w:val="1"/>
              <w:sz w:val="20"/>
              <w:szCs w:val="20"/>
              <w:rtl w:val="0"/>
            </w:rPr>
            <w:t xml:space="preserve">PROCEDIMIENTO DE ENSAYO DE APTITUD PARA O</w:t>
          </w:r>
          <w:r w:rsidDel="00000000" w:rsidR="00000000" w:rsidRPr="00000000">
            <w:rPr>
              <w:rFonts w:ascii="Arial" w:cs="Arial" w:eastAsia="Arial" w:hAnsi="Arial"/>
              <w:b w:val="1"/>
              <w:bCs w:val="1"/>
              <w:sz w:val="20"/>
              <w:szCs w:val="20"/>
              <w:vertAlign w:val="subscript"/>
              <w:rtl w:val="0"/>
            </w:rPr>
            <w:t xml:space="preserve">3</w:t>
          </w:r>
          <w:r w:rsidDel="00000000" w:rsidR="00000000" w:rsidRPr="00000000">
            <w:rPr>
              <w:rtl w:val="0"/>
            </w:rPr>
          </w:r>
        </w:p>
      </w:tc>
      <w:tc>
        <w:tcP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XvihFf9zLotnm0LBRaYHhv0sA==">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