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-psea-11-reporte-de-resultados-17025"/>
    <w:p>
      <w:pPr>
        <w:pStyle w:val="Heading1"/>
      </w:pPr>
      <w:r>
        <w:t xml:space="preserve">P-PSEA-11 — Reporte de Resultados (17025)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P-PSEA-11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3 — Procedimiento Técnico del Esquema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Cláusulas ISO/IEC 17025:2017:</w:t>
      </w:r>
      <w:r>
        <w:t xml:space="preserve"> </w:t>
      </w:r>
      <w:r>
        <w:t xml:space="preserve">7.9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🟡 Media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Procedimiento para la emisión de reportes de resultados de ensayo conforme a ISO/IEC 17025:2017. Define el formato, contenido obligatorio, criterios de revisión y aprobación de los reportes técnicos que emite el laboratorio en su rol 17025 (distinto del informe de resultados del esquema PT que se rige por P-PSEA-07/P-PSEA-22). Asegura claridad, precisión, trazabilidad y cumplimiento regulatorio en cada reporte emitido.</w:t>
      </w:r>
    </w:p>
    <w:bookmarkEnd w:id="9"/>
    <w:bookmarkStart w:id="10" w:name="contenido-esperado"/>
    <w:p>
      <w:pPr>
        <w:pStyle w:val="Heading2"/>
      </w:pPr>
      <w:r>
        <w:t xml:space="preserve">Contenido esperado</w:t>
      </w:r>
    </w:p>
    <w:p>
      <w:pPr>
        <w:pStyle w:val="Compact"/>
        <w:numPr>
          <w:ilvl w:val="0"/>
          <w:numId w:val="1001"/>
        </w:numPr>
      </w:pPr>
      <w:r>
        <w:t xml:space="preserve">Formato estándar de reportes de ensayo</w:t>
      </w:r>
    </w:p>
    <w:p>
      <w:pPr>
        <w:pStyle w:val="Compact"/>
        <w:numPr>
          <w:ilvl w:val="0"/>
          <w:numId w:val="1001"/>
        </w:numPr>
      </w:pPr>
      <w:r>
        <w:t xml:space="preserve">Contenido mínimo obligatorio (ISO 17025 §7.8)</w:t>
      </w:r>
    </w:p>
    <w:p>
      <w:pPr>
        <w:pStyle w:val="Compact"/>
        <w:numPr>
          <w:ilvl w:val="0"/>
          <w:numId w:val="1001"/>
        </w:numPr>
      </w:pPr>
      <w:r>
        <w:t xml:space="preserve">Criterios de emisión y plazos</w:t>
      </w:r>
    </w:p>
    <w:p>
      <w:pPr>
        <w:pStyle w:val="Compact"/>
        <w:numPr>
          <w:ilvl w:val="0"/>
          <w:numId w:val="1001"/>
        </w:numPr>
      </w:pPr>
      <w:r>
        <w:t xml:space="preserve">Flujo de revisión y aprobación</w:t>
      </w:r>
    </w:p>
    <w:p>
      <w:pPr>
        <w:pStyle w:val="Compact"/>
        <w:numPr>
          <w:ilvl w:val="0"/>
          <w:numId w:val="1001"/>
        </w:numPr>
      </w:pPr>
      <w:r>
        <w:t xml:space="preserve">Manejo de informes corregidos o complementarios</w:t>
      </w:r>
    </w:p>
    <w:p>
      <w:pPr>
        <w:pStyle w:val="Compact"/>
        <w:numPr>
          <w:ilvl w:val="0"/>
          <w:numId w:val="1001"/>
        </w:numPr>
      </w:pPr>
      <w:r>
        <w:t xml:space="preserve">Registros de distribución</w:t>
      </w:r>
    </w:p>
    <w:bookmarkEnd w:id="10"/>
    <w:bookmarkStart w:id="11" w:name="dependencias"/>
    <w:p>
      <w:pPr>
        <w:pStyle w:val="Heading2"/>
      </w:pPr>
      <w:r>
        <w:t xml:space="preserve">Dependencias</w:t>
      </w:r>
    </w:p>
    <w:p>
      <w:pPr>
        <w:pStyle w:val="Compact"/>
        <w:numPr>
          <w:ilvl w:val="0"/>
          <w:numId w:val="1002"/>
        </w:numPr>
      </w:pPr>
      <w:r>
        <w:t xml:space="preserve">DG-PSEA-01</w:t>
      </w:r>
    </w:p>
    <w:p>
      <w:pPr>
        <w:pStyle w:val="Compact"/>
        <w:numPr>
          <w:ilvl w:val="0"/>
          <w:numId w:val="1002"/>
        </w:numPr>
      </w:pPr>
      <w:r>
        <w:t xml:space="preserve">Relación con P-PSEA-22 (Reportes PT)</w:t>
      </w:r>
    </w:p>
    <w:p>
      <w:r>
        <w:pict>
          <v:rect style="width:0;height:1.5pt" o:hralign="center" o:hrstd="t" o:hr="t"/>
        </w:pict>
      </w:r>
    </w:p>
    <w:bookmarkEnd w:id="11"/>
    <w:bookmarkStart w:id="12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7.4.3 (17025: 7.9)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Complementa P-PSEA-22 para reportes bajo 17025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2026-06-19T12:35:43Z</dcterms:created>
  <dcterms:modified xsi:type="dcterms:W3CDTF">2026-06-19T12:35:43Z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