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f-psea-06-plan-de-ronda-ea"/>
    <w:p>
      <w:pPr>
        <w:pStyle w:val="Heading1"/>
      </w:pPr>
      <w:r>
        <w:t xml:space="preserve">F-PSEA-06 — Plan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 operativo — listo para diligenciamiento y aprobación (Fase 4 cerrada)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propósito-del-formato"/>
    <w:p>
      <w:pPr>
        <w:pStyle w:val="Heading2"/>
      </w:pPr>
      <w:r>
        <w:t xml:space="preserve">1. Propósito del formato</w:t>
      </w:r>
    </w:p>
    <w:p>
      <w:pPr>
        <w:pStyle w:val="FirstParagraph"/>
      </w:pPr>
      <w:r>
        <w:t xml:space="preserve">Formato para planificar, aprobar y controlar la ejecución de una ronda específica del esquema CALAIRE-EA. El documento consolida la identificación de la ronda, el alcance técnico, la asignación de participantes, los recursos críticos, el cronograma operativo, el enfoque estadístico pre-ronda y los puntos de aprobación requeridos antes de iniciar actividades en laboratorio.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2. 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1" w:name="identificación-y-control-documental"/>
    <w:p>
      <w:pPr>
        <w:pStyle w:val="Heading2"/>
      </w:pPr>
      <w:r>
        <w:t xml:space="preserve">3. Identificación y control documental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interno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EA-PP2026-R1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la ronda</w:t>
            </w:r>
          </w:p>
        </w:tc>
        <w:tc>
          <w:tcPr/>
          <w:p>
            <w:pPr>
              <w:pStyle w:val="Compact"/>
            </w:pPr>
            <w:r>
              <w:t xml:space="preserve">Ronda Simple — CALAIRE-EA Piloto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ronda</w:t>
            </w:r>
          </w:p>
        </w:tc>
        <w:tc>
          <w:tcPr/>
          <w:p>
            <w:pPr>
              <w:pStyle w:val="Compact"/>
            </w:pPr>
            <w:r>
              <w:t xml:space="preserve">Ronda piloto de participante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operativa</w:t>
            </w:r>
          </w:p>
        </w:tc>
        <w:tc>
          <w:tcPr/>
          <w:p>
            <w:pPr>
              <w:pStyle w:val="Compact"/>
            </w:pPr>
            <w:r>
              <w:t xml:space="preserve">20 al 25 de abril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principal de medición</w:t>
            </w:r>
          </w:p>
        </w:tc>
        <w:tc>
          <w:tcPr/>
          <w:p>
            <w:pPr>
              <w:pStyle w:val="Compact"/>
            </w:pPr>
            <w:r>
              <w:t xml:space="preserve">1 jornada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Sede de ejecución</w:t>
            </w:r>
          </w:p>
        </w:tc>
        <w:tc>
          <w:tcPr/>
          <w:p>
            <w:pPr>
              <w:pStyle w:val="Compact"/>
            </w:pPr>
            <w:r>
              <w:t xml:space="preserve">Laboratorio CALAIRE — UNAL Medellín (Bloque 19A, Campus El Volador, Cra 65 No 59A-110)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del plan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elaboración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lcance-técnico-de-la-ronda"/>
    <w:p>
      <w:pPr>
        <w:pStyle w:val="Heading2"/>
      </w:pPr>
      <w:r>
        <w:t xml:space="preserve">4. Alcance técnico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Definición aprobada para esta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 previsto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participantes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 y SO₂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Naturaleza del ítem PT</w:t>
            </w:r>
          </w:p>
        </w:tc>
        <w:tc>
          <w:tcPr/>
          <w:p>
            <w:pPr>
              <w:pStyle w:val="Compact"/>
            </w:pPr>
            <w:r>
              <w:t xml:space="preserve">Atmósfera gaseosa generada in situ en 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metrológica del valor asignado</w:t>
            </w:r>
          </w:p>
        </w:tc>
        <w:tc>
          <w:tcPr/>
          <w:p>
            <w:pPr>
              <w:pStyle w:val="Compact"/>
            </w:pPr>
            <w:r>
              <w:t xml:space="preserve">Referencia trazable a CRM + sistema de dilución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Enfoque estadístico</w:t>
            </w:r>
          </w:p>
        </w:tc>
        <w:tc>
          <w:tcPr/>
          <w:p>
            <w:pPr>
              <w:pStyle w:val="Compact"/>
            </w:pPr>
            <w:r>
              <w:t xml:space="preserve">Valor de referencia trazable para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prescrito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aplicable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ζ</w:t>
            </w:r>
            <w:r>
              <w:t xml:space="preserve">, según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 la información reportada por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esperado del formato</w:t>
            </w:r>
          </w:p>
        </w:tc>
        <w:tc>
          <w:tcPr/>
          <w:p>
            <w:pPr>
              <w:pStyle w:val="Compact"/>
            </w:pPr>
            <w:r>
              <w:t xml:space="preserve">Listo para diligenciamiento y aprobación pre-ronda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bla-maestra-de-la-ronda-simple"/>
    <w:p>
      <w:pPr>
        <w:pStyle w:val="Heading2"/>
      </w:pPr>
      <w:r>
        <w:t xml:space="preserve">5. Tabla maestra de la ronda simple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Definición operativa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  <w:tc>
          <w:tcPr/>
          <w:p>
            <w:pPr>
              <w:pStyle w:val="Compact"/>
            </w:pPr>
            <w:r>
              <w:t xml:space="preserve">Contacto confirmado en comunicaciones previas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 de la ronda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  <w:tc>
          <w:tcPr/>
          <w:p>
            <w:pPr>
              <w:pStyle w:val="Compact"/>
            </w:pPr>
            <w:r>
              <w:t xml:space="preserve">No aplica operación multi-analito compleja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de instalación</w:t>
            </w:r>
          </w:p>
        </w:tc>
        <w:tc>
          <w:tcPr/>
          <w:p>
            <w:pPr>
              <w:pStyle w:val="Compact"/>
            </w:pPr>
            <w:r>
              <w:t xml:space="preserve">Miércoles 22 de abril de 2026</w:t>
            </w:r>
          </w:p>
        </w:tc>
        <w:tc>
          <w:tcPr/>
          <w:p>
            <w:pPr>
              <w:pStyle w:val="Compact"/>
            </w:pPr>
            <w:r>
              <w:t xml:space="preserve">Confirmar hora de ingreso y montaje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de medición</w:t>
            </w:r>
          </w:p>
        </w:tc>
        <w:tc>
          <w:tcPr/>
          <w:p>
            <w:pPr>
              <w:pStyle w:val="Compact"/>
            </w:pPr>
            <w:r>
              <w:t xml:space="preserve">Jueves 23 de abril de 2026</w:t>
            </w:r>
          </w:p>
        </w:tc>
        <w:tc>
          <w:tcPr/>
          <w:p>
            <w:pPr>
              <w:pStyle w:val="Compact"/>
            </w:pPr>
            <w:r>
              <w:t xml:space="preserve">Una jornada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Devolución / cierre</w:t>
            </w:r>
          </w:p>
        </w:tc>
        <w:tc>
          <w:tcPr/>
          <w:p>
            <w:pPr>
              <w:pStyle w:val="Compact"/>
            </w:pPr>
            <w:r>
              <w:t xml:space="preserve">Viernes 24 de abril de 2026</w:t>
            </w:r>
          </w:p>
        </w:tc>
        <w:tc>
          <w:tcPr/>
          <w:p>
            <w:pPr>
              <w:pStyle w:val="Compact"/>
            </w:pPr>
            <w:r>
              <w:t xml:space="preserve">Incluye check-out y retiro de materiales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total de la ronda</w:t>
            </w:r>
          </w:p>
        </w:tc>
        <w:tc>
          <w:tcPr/>
          <w:p>
            <w:pPr>
              <w:pStyle w:val="Compact"/>
            </w:pPr>
            <w:r>
              <w:t xml:space="preserve">1 jornada de medición + actividades de soporte</w:t>
            </w:r>
          </w:p>
        </w:tc>
        <w:tc>
          <w:tcPr/>
          <w:p>
            <w:pPr>
              <w:pStyle w:val="Compact"/>
            </w:pPr>
            <w:r>
              <w:t xml:space="preserve">Mantener separadas actividades previas y posteriores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Instrumentos previstos en manifold</w:t>
            </w:r>
          </w:p>
        </w:tc>
        <w:tc>
          <w:tcPr/>
          <w:p>
            <w:pPr>
              <w:pStyle w:val="Compact"/>
            </w:pPr>
            <w:r>
              <w:t xml:space="preserve">1 participante + sistema CALAIRE</w:t>
            </w:r>
          </w:p>
        </w:tc>
        <w:tc>
          <w:tcPr/>
          <w:p>
            <w:pPr>
              <w:pStyle w:val="Compact"/>
            </w:pPr>
            <w:r>
              <w:t xml:space="preserve">No documentar aquí lógica de capacidad máxima de 8 equipos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participantes-contactos-y-prerrequisitos"/>
    <w:p>
      <w:pPr>
        <w:pStyle w:val="Heading2"/>
      </w:pPr>
      <w:r>
        <w:t xml:space="preserve">6. Participantes, contactos y prerrequisitos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Registro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del participante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SIATA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principal</w:t>
            </w:r>
          </w:p>
        </w:tc>
        <w:tc>
          <w:tcPr/>
          <w:p>
            <w:pPr>
              <w:pStyle w:val="Compact"/>
            </w:pPr>
            <w:r>
              <w:t xml:space="preserve">Mauricio Ramírez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de contacto</w:t>
            </w:r>
          </w:p>
        </w:tc>
        <w:tc>
          <w:tcPr/>
          <w:p>
            <w:pPr>
              <w:pStyle w:val="Compact"/>
            </w:pPr>
            <w:r>
              <w:t xml:space="preserve">mauricio.ramirez@siata.gov.co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F-PSEA-05A recibido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[Sí/No - 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 declarados por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Cilindros propios declarados por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 de ingreso y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Prerrequisitos de participación</w:t>
      </w:r>
    </w:p>
    <w:p>
      <w:pPr>
        <w:pStyle w:val="Compact"/>
        <w:numPr>
          <w:ilvl w:val="0"/>
          <w:numId w:val="1001"/>
        </w:numPr>
      </w:pPr>
      <w:r>
        <w:t xml:space="preserve">F-PSEA-05A diligenciado y recibido antes del plazo pre-ronda.</w:t>
      </w:r>
    </w:p>
    <w:p>
      <w:pPr>
        <w:pStyle w:val="Compact"/>
        <w:numPr>
          <w:ilvl w:val="0"/>
          <w:numId w:val="1001"/>
        </w:numPr>
      </w:pPr>
      <w:r>
        <w:t xml:space="preserve">Confirmación de asistencia, personal visitante y equipos a ingresar.</w:t>
      </w:r>
    </w:p>
    <w:p>
      <w:pPr>
        <w:pStyle w:val="Compact"/>
        <w:numPr>
          <w:ilvl w:val="0"/>
          <w:numId w:val="1001"/>
        </w:numPr>
      </w:pPr>
      <w:r>
        <w:t xml:space="preserve">Verificación de que los cilindros del participante son materiales auxiliares y no forman parte del ítem PT.</w:t>
      </w:r>
    </w:p>
    <w:p>
      <w:pPr>
        <w:pStyle w:val="Compact"/>
        <w:numPr>
          <w:ilvl w:val="0"/>
          <w:numId w:val="1001"/>
        </w:numPr>
      </w:pPr>
      <w:r>
        <w:t xml:space="preserve">Aceptación de las instrucciones de medición, reporte y confidencialidad definidas en</w:t>
      </w:r>
      <w:r>
        <w:t xml:space="preserve"> </w:t>
      </w:r>
      <w:r>
        <w:rPr>
          <w:rStyle w:val="VerbatimChar"/>
        </w:rPr>
        <w:t xml:space="preserve">I-PSEA-09</w:t>
      </w:r>
      <w:r>
        <w:t xml:space="preserve">.</w:t>
      </w:r>
    </w:p>
    <w:bookmarkStart w:id="14" w:name="X23e54b5da5c9de4b8070540111939214a52f816"/>
    <w:p>
      <w:pPr>
        <w:pStyle w:val="Heading3"/>
      </w:pPr>
      <w:r>
        <w:t xml:space="preserve">6.1 Criterios de elegibilidad aplicables a esta ronda</w:t>
      </w:r>
    </w:p>
    <w:p>
      <w:pPr>
        <w:pStyle w:val="Compact"/>
        <w:numPr>
          <w:ilvl w:val="0"/>
          <w:numId w:val="1002"/>
        </w:numPr>
      </w:pPr>
      <w:r>
        <w:t xml:space="preserve">Participación restringida a un laboratorio con capacidad operativa vigente para analizadores automáticos de gases contaminantes criterio bajo métodos US EPA o equivalentes reconocidos por el esquema.</w:t>
      </w:r>
    </w:p>
    <w:p>
      <w:pPr>
        <w:pStyle w:val="Compact"/>
        <w:numPr>
          <w:ilvl w:val="0"/>
          <w:numId w:val="1002"/>
        </w:numPr>
      </w:pPr>
      <w:r>
        <w:t xml:space="preserve">Disponibilidad de personal competente para instalación, verificación funcional y operación del equipo durante la jornada de medición.</w:t>
      </w:r>
    </w:p>
    <w:p>
      <w:pPr>
        <w:pStyle w:val="Compact"/>
        <w:numPr>
          <w:ilvl w:val="0"/>
          <w:numId w:val="1002"/>
        </w:numPr>
      </w:pPr>
      <w:r>
        <w:t xml:space="preserve">Declaración previa de la incertidumbre de medición o de la información necesaria para evaluar el desempeño con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ζ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Disponibilidad de cilindros, reguladores, calibrador dinámico u otros recursos propios del participante únicamente para su aseguramiento interno, sin interferir con el sistema generador del ítem PT.</w:t>
      </w:r>
    </w:p>
    <w:p>
      <w:pPr>
        <w:pStyle w:val="Compact"/>
        <w:numPr>
          <w:ilvl w:val="0"/>
          <w:numId w:val="1002"/>
        </w:numPr>
      </w:pPr>
      <w:r>
        <w:t xml:space="preserve">Cumplimiento de las condiciones logísticas y de seguridad indicadas en</w:t>
      </w:r>
      <w:r>
        <w:t xml:space="preserve"> </w:t>
      </w:r>
      <w:r>
        <w:rPr>
          <w:rStyle w:val="VerbatimChar"/>
        </w:rPr>
        <w:t xml:space="preserve">I-PSEA-01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I-PSEA-09</w:t>
      </w:r>
      <w:r>
        <w:t xml:space="preserve"> </w:t>
      </w:r>
      <w:r>
        <w:t xml:space="preserve">y en la comunicación oficial pre-ronda.</w:t>
      </w:r>
    </w:p>
    <w:bookmarkEnd w:id="14"/>
    <w:bookmarkStart w:id="15" w:name="X6013caf5cdb9063b488f107edf694905c26a1a6"/>
    <w:p>
      <w:pPr>
        <w:pStyle w:val="Heading3"/>
      </w:pPr>
      <w:r>
        <w:t xml:space="preserve">6.2 Información que debe suministrar el participante antes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de equipo(s) a ingresar, serial y método de medición</w:t>
            </w:r>
          </w:p>
        </w:tc>
        <w:tc>
          <w:tcPr/>
          <w:p>
            <w:pPr>
              <w:pStyle w:val="Compact"/>
            </w:pPr>
            <w:r>
              <w:t xml:space="preserve">Control de acceso y asignación operativa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autorizado del participante</w:t>
            </w:r>
          </w:p>
        </w:tc>
        <w:tc>
          <w:tcPr/>
          <w:p>
            <w:pPr>
              <w:pStyle w:val="Compact"/>
            </w:pPr>
            <w:r>
              <w:t xml:space="preserve">Ingreso, SST y trazabilidad de la visita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Necesidades de servicios auxiliares</w:t>
            </w:r>
          </w:p>
        </w:tc>
        <w:tc>
          <w:tcPr/>
          <w:p>
            <w:pPr>
              <w:pStyle w:val="Compact"/>
            </w:pPr>
            <w:r>
              <w:t xml:space="preserve">Verificar compatibilidad eléctrica y de instalación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Confirmación de recepción de instrucciones y cronograma</w:t>
            </w:r>
          </w:p>
        </w:tc>
        <w:tc>
          <w:tcPr/>
          <w:p>
            <w:pPr>
              <w:pStyle w:val="Compact"/>
            </w:pPr>
            <w:r>
              <w:t xml:space="preserve">Evidencia de preparación pre-ronda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para reporte de resultados e incertidumbre</w:t>
            </w:r>
          </w:p>
        </w:tc>
        <w:tc>
          <w:tcPr/>
          <w:p>
            <w:pPr>
              <w:pStyle w:val="Compact"/>
            </w:pPr>
            <w:r>
              <w:t xml:space="preserve">Definir evaluación del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Xa2bfcced22d09c56218eef698cf0e8cef689931"/>
    <w:p>
      <w:pPr>
        <w:pStyle w:val="Heading2"/>
      </w:pPr>
      <w:r>
        <w:t xml:space="preserve">7. Recursos críticos y condiciones de operación</w:t>
      </w:r>
    </w:p>
    <w:bookmarkStart w:id="17" w:name="recursos-de-calaire"/>
    <w:p>
      <w:pPr>
        <w:pStyle w:val="Heading3"/>
      </w:pPr>
      <w:r>
        <w:t xml:space="preserve">7.1 Recursos de CALAIRE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Registro requerido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 CO</w:t>
            </w:r>
          </w:p>
        </w:tc>
        <w:tc>
          <w:tcPr/>
          <w:p>
            <w:pPr>
              <w:pStyle w:val="Compact"/>
            </w:pPr>
            <w:r>
              <w:t xml:space="preserve">Proveedor, lote, certificado, vigencia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 SO₂</w:t>
            </w:r>
          </w:p>
        </w:tc>
        <w:tc>
          <w:tcPr/>
          <w:p>
            <w:pPr>
              <w:pStyle w:val="Compact"/>
            </w:pPr>
            <w:r>
              <w:t xml:space="preserve">Proveedor, lote, certificado, vigencia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dilución dinámica</w:t>
            </w:r>
          </w:p>
        </w:tc>
        <w:tc>
          <w:tcPr/>
          <w:p>
            <w:pPr>
              <w:pStyle w:val="Compact"/>
            </w:pPr>
            <w:r>
              <w:t xml:space="preserve">Equipo, serial, estado de verificación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Aire cero / suministro auxiliar</w:t>
            </w:r>
          </w:p>
        </w:tc>
        <w:tc>
          <w:tcPr/>
          <w:p>
            <w:pPr>
              <w:pStyle w:val="Compact"/>
            </w:pPr>
            <w:r>
              <w:t xml:space="preserve">Fuente y condición operativa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Manifold de distribución</w:t>
            </w:r>
          </w:p>
        </w:tc>
        <w:tc>
          <w:tcPr/>
          <w:p>
            <w:pPr>
              <w:pStyle w:val="Compact"/>
            </w:pPr>
            <w:r>
              <w:t xml:space="preserve">Identificación, puertos habilitados, limpieza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/ respaldo eléctrico</w:t>
            </w:r>
          </w:p>
        </w:tc>
        <w:tc>
          <w:tcPr/>
          <w:p>
            <w:pPr>
              <w:pStyle w:val="Compact"/>
            </w:pPr>
            <w:r>
              <w:t xml:space="preserve">Equipo asignado y autonomía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Monitoreo ambiental</w:t>
            </w:r>
          </w:p>
        </w:tc>
        <w:tc>
          <w:tcPr/>
          <w:p>
            <w:pPr>
              <w:pStyle w:val="Compact"/>
            </w:pPr>
            <w:r>
              <w:t xml:space="preserve">Temperatura, presión, 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17"/>
    <w:bookmarkStart w:id="18" w:name="Xa6e73ccbb788d5071a0c9f35af3435ccb9b864b"/>
    <w:p>
      <w:pPr>
        <w:pStyle w:val="Heading3"/>
      </w:pPr>
      <w:r>
        <w:t xml:space="preserve">7.1.1 Proveedores externos y servicios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servicio o suministro</w:t>
            </w:r>
          </w:p>
        </w:tc>
        <w:tc>
          <w:tcPr/>
          <w:p>
            <w:pPr>
              <w:pStyle w:val="Compact"/>
            </w:pPr>
            <w:r>
              <w:t xml:space="preserve">Aplicación en la ronda simple</w:t>
            </w:r>
          </w:p>
        </w:tc>
        <w:tc>
          <w:tcPr/>
          <w:p>
            <w:pPr>
              <w:pStyle w:val="Compact"/>
            </w:pPr>
            <w:r>
              <w:t xml:space="preserve">Contacto /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Suministro de CRM</w:t>
            </w:r>
          </w:p>
        </w:tc>
        <w:tc>
          <w:tcPr/>
          <w:p>
            <w:pPr>
              <w:pStyle w:val="Compact"/>
            </w:pPr>
            <w:r>
              <w:t xml:space="preserve">Provisión de gases de referencia certificados para CO y SO₂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Calibración o verificación externa de equipos de referencia</w:t>
            </w:r>
          </w:p>
        </w:tc>
        <w:tc>
          <w:tcPr/>
          <w:p>
            <w:pPr>
              <w:pStyle w:val="Compact"/>
            </w:pPr>
            <w:r>
              <w:t xml:space="preserve">Aplicable solo si existe certificado vigente usado como soporte de trazabilidad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de transporte o ingreso especial</w:t>
            </w:r>
          </w:p>
        </w:tc>
        <w:tc>
          <w:tcPr/>
          <w:p>
            <w:pPr>
              <w:pStyle w:val="Compact"/>
            </w:pPr>
            <w:r>
              <w:t xml:space="preserve">Aplicable si se requiere movilización controlada de cilindros o equipos auxiliares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 / NO APLICA]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Asesoría técnica externa</w:t>
            </w:r>
          </w:p>
        </w:tc>
        <w:tc>
          <w:tcPr/>
          <w:p>
            <w:pPr>
              <w:pStyle w:val="Compact"/>
            </w:pPr>
            <w:r>
              <w:t xml:space="preserve">No participa en la operación de la ronda salvo autorización documentada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 / NO APLICA]</w:t>
            </w:r>
          </w:p>
        </w:tc>
      </w:tr>
    </w:tbl>
    <w:bookmarkEnd w:id="18"/>
    <w:bookmarkStart w:id="19" w:name="personal-autorizado"/>
    <w:p>
      <w:pPr>
        <w:pStyle w:val="Heading3"/>
      </w:pPr>
      <w:r>
        <w:t xml:space="preserve">7.2 Personal autorizado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Función en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Aprobación operativa y coordinación con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técnico CALAIRE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Operación del sistema de generación y control del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metrológico / estadístico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Confirmación de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y criterio de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Apoyo logístico /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Ingreso, custodia y cierre documental</w:t>
            </w:r>
          </w:p>
        </w:tc>
      </w:tr>
    </w:tbl>
    <w:bookmarkEnd w:id="19"/>
    <w:bookmarkStart w:id="20" w:name="matriz-de-roles-y-responsabilidades"/>
    <w:p>
      <w:pPr>
        <w:pStyle w:val="Heading3"/>
      </w:pPr>
      <w:r>
        <w:t xml:space="preserve">7.2.1 Matriz de roles y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Responsable técnico CALAIRE</w:t>
            </w:r>
          </w:p>
        </w:tc>
        <w:tc>
          <w:tcPr/>
          <w:p>
            <w:pPr>
              <w:pStyle w:val="Compact"/>
            </w:pPr>
            <w:r>
              <w:t xml:space="preserve">Soporte metrológico / estadístico</w:t>
            </w:r>
          </w:p>
        </w:tc>
        <w:tc>
          <w:tcPr/>
          <w:p>
            <w:pPr>
              <w:pStyle w:val="Compact"/>
            </w:pPr>
            <w:r>
              <w:t xml:space="preserve">Apoyo logístico / acceso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Emisión del paquete pre-ronda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prerrequisitos y acceso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CRM, manifold y condiciones ambientales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Definición y aprobación de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Check-in, montaje y asignación de puerto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medición y registro en sitio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Recepción de resultados y control de integridad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Cierre, devolución y tratamiento de incidentes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Convención: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aprueba,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ejecuta,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apoya técnicamente,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recibe información.</w:t>
      </w:r>
    </w:p>
    <w:bookmarkEnd w:id="20"/>
    <w:bookmarkStart w:id="21" w:name="criterios-operativos-del-ítem-pt"/>
    <w:p>
      <w:pPr>
        <w:pStyle w:val="Heading3"/>
      </w:pPr>
      <w:r>
        <w:t xml:space="preserve">7.3 Criterios operativos del ítem 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 del ítem PT</w:t>
            </w:r>
          </w:p>
        </w:tc>
        <w:tc>
          <w:tcPr/>
          <w:p>
            <w:pPr>
              <w:pStyle w:val="Compact"/>
            </w:pPr>
            <w:r>
              <w:t xml:space="preserve">Atmósfera generada in situ con CRM trazables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entrega</w:t>
            </w:r>
          </w:p>
        </w:tc>
        <w:tc>
          <w:tcPr/>
          <w:p>
            <w:pPr>
              <w:pStyle w:val="Compact"/>
            </w:pPr>
            <w:r>
              <w:t xml:space="preserve">Puerto asignado en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custodia</w:t>
            </w:r>
          </w:p>
        </w:tc>
        <w:tc>
          <w:tcPr/>
          <w:p>
            <w:pPr>
              <w:pStyle w:val="Compact"/>
            </w:pPr>
            <w:r>
              <w:t xml:space="preserve">Registro de MRC, montaje, verificación y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Restricción clave</w:t>
            </w:r>
          </w:p>
        </w:tc>
        <w:tc>
          <w:tcPr/>
          <w:p>
            <w:pPr>
              <w:pStyle w:val="Compact"/>
            </w:pPr>
            <w:r>
              <w:t xml:space="preserve">Los cilindros del participante no se conectan al sistema de generación CALAIRE</w:t>
            </w:r>
          </w:p>
        </w:tc>
      </w:tr>
    </w:tbl>
    <w:bookmarkEnd w:id="21"/>
    <w:bookmarkStart w:id="22" w:name="X4d2490bc28cf4915871ba0154a61bc8f8e77e20"/>
    <w:p>
      <w:pPr>
        <w:pStyle w:val="Heading3"/>
      </w:pPr>
      <w:r>
        <w:t xml:space="preserve">7.3.1 Producción, control y custodia del ítem PT</w:t>
      </w:r>
    </w:p>
    <w:p>
      <w:pPr>
        <w:pStyle w:val="Compact"/>
        <w:numPr>
          <w:ilvl w:val="0"/>
          <w:numId w:val="1003"/>
        </w:numPr>
      </w:pPr>
      <w:r>
        <w:t xml:space="preserve">La producción del ítem PT se basa en CRM vigentes, sistema de dilución validado, aire cero conforme y control previo de fugas en la línea de distribución.</w:t>
      </w:r>
    </w:p>
    <w:p>
      <w:pPr>
        <w:pStyle w:val="Compact"/>
        <w:numPr>
          <w:ilvl w:val="0"/>
          <w:numId w:val="1003"/>
        </w:numPr>
      </w:pPr>
      <w:r>
        <w:t xml:space="preserve">El manifold, tubería, acoples y puertos habilitados deben verificarse antes de la instalación del participante para confirmar limpieza, compatibilidad e inerticidad operativa.</w:t>
      </w:r>
    </w:p>
    <w:p>
      <w:pPr>
        <w:pStyle w:val="Compact"/>
        <w:numPr>
          <w:ilvl w:val="0"/>
          <w:numId w:val="1003"/>
        </w:numPr>
      </w:pPr>
      <w:r>
        <w:t xml:space="preserve">La resolución temporal de seguimiento y las variables ambientales deben quedar registradas durante la jornada de medición como soporte de estabilidad operativa.</w:t>
      </w:r>
    </w:p>
    <w:p>
      <w:pPr>
        <w:pStyle w:val="Compact"/>
        <w:numPr>
          <w:ilvl w:val="0"/>
          <w:numId w:val="1003"/>
        </w:numPr>
      </w:pPr>
      <w:r>
        <w:t xml:space="preserve">El almacenamiento transitorio de cilindros y equipos auxiliares del participante debe mantenerse segregado del sistema de generación del ítem PT.</w:t>
      </w:r>
    </w:p>
    <w:p>
      <w:pPr>
        <w:pStyle w:val="Compact"/>
        <w:numPr>
          <w:ilvl w:val="0"/>
          <w:numId w:val="1003"/>
        </w:numPr>
      </w:pPr>
      <w:r>
        <w:t xml:space="preserve">Toda desviación que comprometa homogeneidad, estabilidad, presión, flujo o seguridad debe activar evaluación inmediata de continuidad de la ronda.</w:t>
      </w:r>
    </w:p>
    <w:bookmarkEnd w:id="22"/>
    <w:bookmarkStart w:id="23" w:name="Xe98b0d5cbff6e3cc1e84c22533cebcd14ece114"/>
    <w:p>
      <w:pPr>
        <w:pStyle w:val="Heading3"/>
      </w:pPr>
      <w:r>
        <w:t xml:space="preserve">7.3.2 Respuesta ante pérdida, deterioro o incidente del ítem 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Respuesta mínima requerida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o pérdida de estanqueidad</w:t>
            </w:r>
          </w:p>
        </w:tc>
        <w:tc>
          <w:tcPr/>
          <w:p>
            <w:pPr>
              <w:pStyle w:val="Compact"/>
            </w:pPr>
            <w:r>
              <w:t xml:space="preserve">Suspender operación, aislar línea afectada y verificar condición segura antes de reanudar</w:t>
            </w:r>
          </w:p>
        </w:tc>
        <w:tc>
          <w:tcPr/>
          <w:p>
            <w:pPr>
              <w:pStyle w:val="Compact"/>
            </w:pPr>
            <w:r>
              <w:t xml:space="preserve">F-PSEA-08 / registro de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Deterioro del CRM o vencimiento documental</w:t>
            </w:r>
          </w:p>
        </w:tc>
        <w:tc>
          <w:tcPr/>
          <w:p>
            <w:pPr>
              <w:pStyle w:val="Compact"/>
            </w:pPr>
            <w:r>
              <w:t xml:space="preserve">Retener uso del material y sustituir solo con referencia aprobada y vigente</w:t>
            </w:r>
          </w:p>
        </w:tc>
        <w:tc>
          <w:tcPr/>
          <w:p>
            <w:pPr>
              <w:pStyle w:val="Compact"/>
            </w:pPr>
            <w:r>
              <w:t xml:space="preserve">Este plan / soporte metrológico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Inestabilidad no aceptable del sistema generador</w:t>
            </w:r>
          </w:p>
        </w:tc>
        <w:tc>
          <w:tcPr/>
          <w:p>
            <w:pPr>
              <w:pStyle w:val="Compact"/>
            </w:pPr>
            <w:r>
              <w:t xml:space="preserve">Evaluar repetición, ajuste o cancelación de la corrida conforme al criterio técnico; la decisión la toma Coordinación EA con concepto del Responsable técnico CALAIRE antes de continuar</w:t>
            </w:r>
          </w:p>
        </w:tc>
        <w:tc>
          <w:tcPr/>
          <w:p>
            <w:pPr>
              <w:pStyle w:val="Compact"/>
            </w:pPr>
            <w:r>
              <w:t xml:space="preserve">F-PSEA-08 / decisión técnica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Daño durante check-in o desmontaje</w:t>
            </w:r>
          </w:p>
        </w:tc>
        <w:tc>
          <w:tcPr/>
          <w:p>
            <w:pPr>
              <w:pStyle w:val="Compact"/>
            </w:pPr>
            <w:r>
              <w:t xml:space="preserve">Documentar afectación, custodiar evidencia y comunicar decisión al participante</w:t>
            </w:r>
          </w:p>
        </w:tc>
        <w:tc>
          <w:tcPr/>
          <w:p>
            <w:pPr>
              <w:pStyle w:val="Compact"/>
            </w:pPr>
            <w:r>
              <w:t xml:space="preserve">F-PSEA-11 / registro de incidente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ronograma-operativo-de-la-ronda"/>
    <w:p>
      <w:pPr>
        <w:pStyle w:val="Heading2"/>
      </w:pPr>
      <w:r>
        <w:t xml:space="preserve">8. Cronograma operativo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T-14</w:t>
            </w:r>
          </w:p>
        </w:tc>
        <w:tc>
          <w:tcPr/>
          <w:p>
            <w:pPr>
              <w:pStyle w:val="Compact"/>
            </w:pPr>
            <w:r>
              <w:t xml:space="preserve">Envío de paquete pre-ronda y F-PSEA-05A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F-PSEA-07 / comunicación oficial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T-7</w:t>
            </w:r>
          </w:p>
        </w:tc>
        <w:tc>
          <w:tcPr/>
          <w:p>
            <w:pPr>
              <w:pStyle w:val="Compact"/>
            </w:pPr>
            <w:r>
              <w:t xml:space="preserve">Confirmación de participación, equipos y acceso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F-PSEA-05A / F-PSEA-07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 a Día 0</w:t>
            </w:r>
          </w:p>
        </w:tc>
        <w:tc>
          <w:tcPr/>
          <w:p>
            <w:pPr>
              <w:pStyle w:val="Compact"/>
            </w:pPr>
            <w:r>
              <w:t xml:space="preserve">Verificación de CRM, manifold, respaldo eléctrico y condiciones del laboratorio</w:t>
            </w:r>
          </w:p>
        </w:tc>
        <w:tc>
          <w:tcPr/>
          <w:p>
            <w:pPr>
              <w:pStyle w:val="Compact"/>
            </w:pPr>
            <w:r>
              <w:t xml:space="preserve">Técnico CALAIRE</w:t>
            </w:r>
          </w:p>
        </w:tc>
        <w:tc>
          <w:tcPr/>
          <w:p>
            <w:pPr>
              <w:pStyle w:val="Compact"/>
            </w:pPr>
            <w:r>
              <w:t xml:space="preserve">F-PSEA-08 / este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1</w:t>
            </w:r>
          </w:p>
        </w:tc>
        <w:tc>
          <w:tcPr/>
          <w:p>
            <w:pPr>
              <w:pStyle w:val="Compact"/>
            </w:pPr>
            <w:r>
              <w:t xml:space="preserve">Ingreso del participante, check-in y montaje</w:t>
            </w:r>
          </w:p>
        </w:tc>
        <w:tc>
          <w:tcPr/>
          <w:p>
            <w:pPr>
              <w:pStyle w:val="Compact"/>
            </w:pPr>
            <w:r>
              <w:t xml:space="preserve">Coordinación EA + Técnico CALAIRE</w:t>
            </w:r>
          </w:p>
        </w:tc>
        <w:tc>
          <w:tcPr/>
          <w:p>
            <w:pPr>
              <w:pStyle w:val="Compact"/>
            </w:pPr>
            <w:r>
              <w:t xml:space="preserve">F-PSEA-11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2</w:t>
            </w:r>
          </w:p>
        </w:tc>
        <w:tc>
          <w:tcPr/>
          <w:p>
            <w:pPr>
              <w:pStyle w:val="Compact"/>
            </w:pPr>
            <w:r>
              <w:t xml:space="preserve">Ejecución de medición CO y SO₂</w:t>
            </w:r>
          </w:p>
        </w:tc>
        <w:tc>
          <w:tcPr/>
          <w:p>
            <w:pPr>
              <w:pStyle w:val="Compact"/>
            </w:pPr>
            <w:r>
              <w:t xml:space="preserve">Técnico CALAIRE + Participante</w:t>
            </w:r>
          </w:p>
        </w:tc>
        <w:tc>
          <w:tcPr/>
          <w:p>
            <w:pPr>
              <w:pStyle w:val="Compact"/>
            </w:pPr>
            <w:r>
              <w:t xml:space="preserve">F-PSEA-08 / F-PSEA-12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3</w:t>
            </w:r>
          </w:p>
        </w:tc>
        <w:tc>
          <w:tcPr/>
          <w:p>
            <w:pPr>
              <w:pStyle w:val="Compact"/>
            </w:pPr>
            <w:r>
              <w:t xml:space="preserve">Desmontaje, devolución y cierre</w:t>
            </w:r>
          </w:p>
        </w:tc>
        <w:tc>
          <w:tcPr/>
          <w:p>
            <w:pPr>
              <w:pStyle w:val="Compact"/>
            </w:pPr>
            <w:r>
              <w:t xml:space="preserve">Coordinación EA + Participante</w:t>
            </w:r>
          </w:p>
        </w:tc>
        <w:tc>
          <w:tcPr/>
          <w:p>
            <w:pPr>
              <w:pStyle w:val="Compact"/>
            </w:pPr>
            <w:r>
              <w:t xml:space="preserve">F-PSEA-11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Secuencia resumida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Instalación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Montaje completado y puerto 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Medición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Jornada ejecutada conforme al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Devolución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Check-out y retiro de materiales</w:t>
            </w:r>
          </w:p>
        </w:tc>
      </w:tr>
    </w:tbl>
    <w:bookmarkStart w:id="25" w:name="X79fd7453196454c94274b2c3a1c873d7eda3860"/>
    <w:p>
      <w:pPr>
        <w:pStyle w:val="Heading3"/>
      </w:pPr>
      <w:r>
        <w:t xml:space="preserve">8.1 Actividades y resultados esperados del participante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 del participante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instalación y condiciones del equipo antes de iniciar</w:t>
            </w:r>
          </w:p>
        </w:tc>
        <w:tc>
          <w:tcPr/>
          <w:p>
            <w:pPr>
              <w:pStyle w:val="Compact"/>
            </w:pPr>
            <w:r>
              <w:t xml:space="preserve">Equipo apto para medición y sin desviaciones críticas</w:t>
            </w:r>
          </w:p>
        </w:tc>
        <w:tc>
          <w:tcPr/>
          <w:p>
            <w:pPr>
              <w:pStyle w:val="Compact"/>
            </w:pPr>
            <w:r>
              <w:t xml:space="preserve">F-PSEA-11 / bitácora del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las mediciones conforme al instructivo de ronda</w:t>
            </w:r>
          </w:p>
        </w:tc>
        <w:tc>
          <w:tcPr/>
          <w:p>
            <w:pPr>
              <w:pStyle w:val="Compact"/>
            </w:pPr>
            <w:r>
              <w:t xml:space="preserve">Serie de datos válidos por analito y nivel aplicado</w:t>
            </w:r>
          </w:p>
        </w:tc>
        <w:tc>
          <w:tcPr/>
          <w:p>
            <w:pPr>
              <w:pStyle w:val="Compact"/>
            </w:pPr>
            <w:r>
              <w:t xml:space="preserve">F-PSEA-12 / plantilla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Reportar resultados, incertidumbre y observaciones técnicas</w:t>
            </w:r>
          </w:p>
        </w:tc>
        <w:tc>
          <w:tcPr/>
          <w:p>
            <w:pPr>
              <w:pStyle w:val="Compact"/>
            </w:pPr>
            <w:r>
              <w:t xml:space="preserve">Entrega completa para evaluación del desempeño</w:t>
            </w:r>
          </w:p>
        </w:tc>
        <w:tc>
          <w:tcPr/>
          <w:p>
            <w:pPr>
              <w:pStyle w:val="Compact"/>
            </w:pPr>
            <w:r>
              <w:t xml:space="preserve">F-PSEA-12 / aplicativo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Informar incidentes u observaciones operativas</w:t>
            </w:r>
          </w:p>
        </w:tc>
        <w:tc>
          <w:tcPr/>
          <w:p>
            <w:pPr>
              <w:pStyle w:val="Compact"/>
            </w:pPr>
            <w:r>
              <w:t xml:space="preserve">Trazabilidad de eventos que afecten la interpretación de resultados</w:t>
            </w:r>
          </w:p>
        </w:tc>
        <w:tc>
          <w:tcPr/>
          <w:p>
            <w:pPr>
              <w:pStyle w:val="Compact"/>
            </w:pPr>
            <w:r>
              <w:t xml:space="preserve">Registro complementario de ronda</w:t>
            </w:r>
          </w:p>
        </w:tc>
      </w:tr>
    </w:tbl>
    <w:bookmarkEnd w:id="25"/>
    <w:bookmarkStart w:id="26" w:name="Xed86e3fb02281d98bd4908acf0db62e102ca50b"/>
    <w:p>
      <w:pPr>
        <w:pStyle w:val="Heading3"/>
      </w:pPr>
      <w:r>
        <w:t xml:space="preserve">8.2 Información y cronograma suministrados al participante</w:t>
      </w:r>
    </w:p>
    <w:p>
      <w:pPr>
        <w:pStyle w:val="Compact"/>
        <w:numPr>
          <w:ilvl w:val="0"/>
          <w:numId w:val="1004"/>
        </w:numPr>
      </w:pPr>
      <w:r>
        <w:t xml:space="preserve">Comunicación oficial con ventana operativa, contacto de coordinación y fecha límite de confirmación.</w:t>
      </w:r>
    </w:p>
    <w:p>
      <w:pPr>
        <w:pStyle w:val="Compact"/>
        <w:numPr>
          <w:ilvl w:val="0"/>
          <w:numId w:val="1004"/>
        </w:numPr>
      </w:pPr>
      <w:r>
        <w:t xml:space="preserve">Instrucciones de ingreso, embalaje, transporte, seguridad y requisitos de servicios.</w:t>
      </w:r>
    </w:p>
    <w:p>
      <w:pPr>
        <w:pStyle w:val="Compact"/>
        <w:numPr>
          <w:ilvl w:val="0"/>
          <w:numId w:val="1004"/>
        </w:numPr>
      </w:pPr>
      <w:r>
        <w:t xml:space="preserve">Cronograma pre-ronda con hitos T-14, confirmación documental, instalación, medición y cierre.</w:t>
      </w:r>
    </w:p>
    <w:p>
      <w:pPr>
        <w:pStyle w:val="Compact"/>
        <w:numPr>
          <w:ilvl w:val="0"/>
          <w:numId w:val="1004"/>
        </w:numPr>
      </w:pPr>
      <w:r>
        <w:t xml:space="preserve">Indicación de rangos tentativos de trabajo y de que los setpoints definitivos se controlan en sitio por CALAIRE.</w:t>
      </w:r>
    </w:p>
    <w:p>
      <w:pPr>
        <w:pStyle w:val="Compact"/>
        <w:numPr>
          <w:ilvl w:val="0"/>
          <w:numId w:val="1004"/>
        </w:numPr>
      </w:pPr>
      <w:r>
        <w:t xml:space="preserve">Indicación de que el reporte de resultados se realiza en formato normalizado y dentro del plazo definido por el esquema.</w:t>
      </w:r>
    </w:p>
    <w:bookmarkEnd w:id="26"/>
    <w:bookmarkStart w:id="27" w:name="Xe74c3115c2e8acc37a07e1ff1fe207522ed07ab"/>
    <w:p>
      <w:pPr>
        <w:pStyle w:val="Heading3"/>
      </w:pPr>
      <w:r>
        <w:t xml:space="preserve">8.3 Fechas de medición y reporte para esta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Criterio definido para la ronda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distribución</w:t>
            </w:r>
          </w:p>
        </w:tc>
        <w:tc>
          <w:tcPr/>
          <w:p>
            <w:pPr>
              <w:pStyle w:val="Compact"/>
            </w:pPr>
            <w:r>
              <w:t xml:space="preserve">Ronda única dentro del piloto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mediciones</w:t>
            </w:r>
          </w:p>
        </w:tc>
        <w:tc>
          <w:tcPr/>
          <w:p>
            <w:pPr>
              <w:pStyle w:val="Compact"/>
            </w:pPr>
            <w:r>
              <w:t xml:space="preserve">Jornada principal el 2026-04-23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de reporte de resultados</w:t>
            </w:r>
          </w:p>
        </w:tc>
        <w:tc>
          <w:tcPr/>
          <w:p>
            <w:pPr>
              <w:pStyle w:val="Compact"/>
            </w:pPr>
            <w:r>
              <w:t xml:space="preserve">15 días posteriores a la finalización de las mediciones (límite 2026-05-08)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Emisión de retroalimentación o devolución preliminar</w:t>
            </w:r>
          </w:p>
        </w:tc>
        <w:tc>
          <w:tcPr/>
          <w:p>
            <w:pPr>
              <w:pStyle w:val="Compact"/>
            </w:pPr>
            <w:r>
              <w:t xml:space="preserve">Sujeta a revisión técnica interna del esquema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control-estadístico-pre-ronda"/>
    <w:p>
      <w:pPr>
        <w:pStyle w:val="Heading2"/>
      </w:pPr>
      <w:r>
        <w:t xml:space="preserve">9. Control estadístico pre-ronda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Criterio a documentar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</w:pPr>
            <w:r>
              <w:t xml:space="preserve">Valor de referencia trazable a CRM + dilución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u(x_pt)</w:t>
            </w:r>
          </w:p>
        </w:tc>
        <w:tc>
          <w:tcPr/>
          <w:p>
            <w:pPr>
              <w:pStyle w:val="Compact"/>
            </w:pPr>
            <w:r>
              <w:t xml:space="preserve">Incertidumbre del valor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Valor prescrito por analito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Justificación estadística</w:t>
            </w:r>
          </w:p>
        </w:tc>
        <w:tc>
          <w:tcPr/>
          <w:p>
            <w:pPr>
              <w:pStyle w:val="Compact"/>
            </w:pPr>
            <w:r>
              <w:t xml:space="preserve">n=1, no aplica consenso entre participantes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</w:tbl>
    <w:bookmarkStart w:id="29" w:name="Xf0cda1e5783a7f46ecee6df6231e62e803bca48"/>
    <w:p>
      <w:pPr>
        <w:pStyle w:val="Heading3"/>
      </w:pPr>
      <w:r>
        <w:t xml:space="preserve">9.1 Criterios de diseño estadístico aplicables a esta ronda</w:t>
      </w:r>
    </w:p>
    <w:p>
      <w:pPr>
        <w:pStyle w:val="Compact"/>
        <w:numPr>
          <w:ilvl w:val="0"/>
          <w:numId w:val="1005"/>
        </w:numPr>
      </w:pPr>
      <w:r>
        <w:t xml:space="preserve">No se documenta en este formato ningún método de consenso por mediana, promedio robusto o NIQR para cálculo del valor asignado.</w:t>
      </w:r>
    </w:p>
    <w:p>
      <w:pPr>
        <w:pStyle w:val="Compact"/>
        <w:numPr>
          <w:ilvl w:val="0"/>
          <w:numId w:val="1005"/>
        </w:numPr>
      </w:pPr>
      <w:r>
        <w:t xml:space="preserve">La ronda se diseña con participante único; por tanto, el plan debe registrar referencia trazable 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prescrito.</w:t>
      </w:r>
    </w:p>
    <w:p>
      <w:pPr>
        <w:pStyle w:val="Compact"/>
        <w:numPr>
          <w:ilvl w:val="0"/>
          <w:numId w:val="1005"/>
        </w:numPr>
      </w:pPr>
      <w:r>
        <w:t xml:space="preserve">La selección final entre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ζ</w:t>
      </w:r>
      <w:r>
        <w:t xml:space="preserve"> </w:t>
      </w:r>
      <w:r>
        <w:t xml:space="preserve">depende de la relación entre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, así como de la incertidumbre reportada por el participante.</w:t>
      </w:r>
    </w:p>
    <w:p>
      <w:pPr>
        <w:pStyle w:val="Compact"/>
        <w:numPr>
          <w:ilvl w:val="0"/>
          <w:numId w:val="1005"/>
        </w:numPr>
      </w:pPr>
      <w:r>
        <w:t xml:space="preserve">Los valores numéricos finales de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permanecen como dato pendiente hasta aprobación técnica.</w:t>
      </w:r>
    </w:p>
    <w:bookmarkEnd w:id="29"/>
    <w:bookmarkStart w:id="30" w:name="rangos-de-trabajo-y-niveles-esperados"/>
    <w:p>
      <w:pPr>
        <w:pStyle w:val="Heading3"/>
      </w:pPr>
      <w:r>
        <w:t xml:space="preserve">9.2 Rangos de trabajo y niveles esperados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Rango general de referencia del esquema</w:t>
            </w:r>
          </w:p>
        </w:tc>
        <w:tc>
          <w:tcPr/>
          <w:p>
            <w:pPr>
              <w:pStyle w:val="Compact"/>
            </w:pPr>
            <w:r>
              <w:t xml:space="preserve">Observación para la ronda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0 a 10 ppm</w:t>
            </w:r>
          </w:p>
        </w:tc>
        <w:tc>
          <w:tcPr/>
          <w:p>
            <w:pPr>
              <w:pStyle w:val="Compact"/>
            </w:pPr>
            <w:r>
              <w:t xml:space="preserve">Los setpoints finales se aprobarán pre-ronda y no se fijan en este 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SO₂</w:t>
            </w:r>
          </w:p>
        </w:tc>
        <w:tc>
          <w:tcPr/>
          <w:p>
            <w:pPr>
              <w:pStyle w:val="Compact"/>
            </w:pPr>
            <w:r>
              <w:t xml:space="preserve">0 a 500 ppb</w:t>
            </w:r>
          </w:p>
        </w:tc>
        <w:tc>
          <w:tcPr/>
          <w:p>
            <w:pPr>
              <w:pStyle w:val="Compact"/>
            </w:pPr>
            <w:r>
              <w:t xml:space="preserve">Los niveles operativos se seleccionan según disponibilidad metrológica y objetivo de la ronda</w:t>
            </w:r>
          </w:p>
        </w:tc>
      </w:tr>
    </w:tbl>
    <w:bookmarkEnd w:id="30"/>
    <w:bookmarkStart w:id="31" w:name="riesgos-técnicos-y-controles-asociados"/>
    <w:p>
      <w:pPr>
        <w:pStyle w:val="Heading3"/>
      </w:pPr>
      <w:r>
        <w:t xml:space="preserve">9.3 Riesgos técnicos y controles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 técnico</w:t>
            </w:r>
          </w:p>
        </w:tc>
        <w:tc>
          <w:tcPr/>
          <w:p>
            <w:pPr>
              <w:pStyle w:val="Compact"/>
            </w:pPr>
            <w:r>
              <w:t xml:space="preserve">Impacto potencial</w:t>
            </w:r>
          </w:p>
        </w:tc>
        <w:tc>
          <w:tcPr/>
          <w:p>
            <w:pPr>
              <w:pStyle w:val="Compact"/>
            </w:pPr>
            <w:r>
              <w:t xml:space="preserve">Control previsto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homogeneidad o estabilidad del ítem PT</w:t>
            </w:r>
          </w:p>
        </w:tc>
        <w:tc>
          <w:tcPr/>
          <w:p>
            <w:pPr>
              <w:pStyle w:val="Compact"/>
            </w:pPr>
            <w:r>
              <w:t xml:space="preserve">Invalida la comparabilidad de resultados</w:t>
            </w:r>
          </w:p>
        </w:tc>
        <w:tc>
          <w:tcPr/>
          <w:p>
            <w:pPr>
              <w:pStyle w:val="Compact"/>
            </w:pPr>
            <w:r>
              <w:t xml:space="preserve">Verificación previa y monitoreo durante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Caída de presión, fuga o flujo inadecuado</w:t>
            </w:r>
          </w:p>
        </w:tc>
        <w:tc>
          <w:tcPr/>
          <w:p>
            <w:pPr>
              <w:pStyle w:val="Compact"/>
            </w:pPr>
            <w:r>
              <w:t xml:space="preserve">Sesgo en concentración entregada al participante</w:t>
            </w:r>
          </w:p>
        </w:tc>
        <w:tc>
          <w:tcPr/>
          <w:p>
            <w:pPr>
              <w:pStyle w:val="Compact"/>
            </w:pPr>
            <w:r>
              <w:t xml:space="preserve">Prueba de estanqueidad y supervisión del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Variación ambiental fuera de control</w:t>
            </w:r>
          </w:p>
        </w:tc>
        <w:tc>
          <w:tcPr/>
          <w:p>
            <w:pPr>
              <w:pStyle w:val="Compact"/>
            </w:pPr>
            <w:r>
              <w:t xml:space="preserve">Afecta estabilidad instrumental y del sistema generador</w:t>
            </w:r>
          </w:p>
        </w:tc>
        <w:tc>
          <w:tcPr/>
          <w:p>
            <w:pPr>
              <w:pStyle w:val="Compact"/>
            </w:pPr>
            <w:r>
              <w:t xml:space="preserve">Registro continuo y control ambiental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 instrumental del participante o del sistema CALAIRE</w:t>
            </w:r>
          </w:p>
        </w:tc>
        <w:tc>
          <w:tcPr/>
          <w:p>
            <w:pPr>
              <w:pStyle w:val="Compact"/>
            </w:pPr>
            <w:r>
              <w:t xml:space="preserve">Interrumpe la ejecución o limita la validez de datos</w:t>
            </w:r>
          </w:p>
        </w:tc>
        <w:tc>
          <w:tcPr/>
          <w:p>
            <w:pPr>
              <w:pStyle w:val="Compact"/>
            </w:pPr>
            <w:r>
              <w:t xml:space="preserve">Verificación funcional, contingencia y registro de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conexión, montaje o identificación de puerto</w:t>
            </w:r>
          </w:p>
        </w:tc>
        <w:tc>
          <w:tcPr/>
          <w:p>
            <w:pPr>
              <w:pStyle w:val="Compact"/>
            </w:pPr>
            <w:r>
              <w:t xml:space="preserve">Riesgo de datos no trazables</w:t>
            </w:r>
          </w:p>
        </w:tc>
        <w:tc>
          <w:tcPr/>
          <w:p>
            <w:pPr>
              <w:pStyle w:val="Compact"/>
            </w:pPr>
            <w:r>
              <w:t xml:space="preserve">Check-in documentado y asignación controlada</w:t>
            </w:r>
          </w:p>
        </w:tc>
      </w:tr>
    </w:tbl>
    <w:bookmarkEnd w:id="31"/>
    <w:bookmarkStart w:id="32" w:name="Xa0ff3d2e1c13adc5a42429b1ffde8dbc3c957d3"/>
    <w:p>
      <w:pPr>
        <w:pStyle w:val="Heading3"/>
      </w:pPr>
      <w:r>
        <w:t xml:space="preserve">9.4 Trazabilidad metrológica y evaluación del desempeño</w:t>
      </w:r>
    </w:p>
    <w:p>
      <w:pPr>
        <w:pStyle w:val="Compact"/>
        <w:numPr>
          <w:ilvl w:val="0"/>
          <w:numId w:val="1006"/>
        </w:numPr>
      </w:pPr>
      <w:r>
        <w:t xml:space="preserve">El valor asignado se fundamenta en CRM con trazabilidad metrológica documentada y en un sistema de dilución controlado por CALAIRE.</w:t>
      </w:r>
    </w:p>
    <w:p>
      <w:pPr>
        <w:pStyle w:val="Compact"/>
        <w:numPr>
          <w:ilvl w:val="0"/>
          <w:numId w:val="1006"/>
        </w:numPr>
      </w:pPr>
      <w:r>
        <w:t xml:space="preserve">La incertidumbre del valor asignado se documenta a partir de la cadena metrológica aplicable y de los componentes relevantes del sistema de generación.</w:t>
      </w:r>
    </w:p>
    <w:p>
      <w:pPr>
        <w:pStyle w:val="Compact"/>
        <w:numPr>
          <w:ilvl w:val="0"/>
          <w:numId w:val="1006"/>
        </w:numPr>
      </w:pPr>
      <w:r>
        <w:t xml:space="preserve">Para esta ronda todos los participantes emplean el mismo enfoque metodológico de medición; no se prevé segregación de resultados por métodos distintos.</w:t>
      </w:r>
    </w:p>
    <w:p>
      <w:pPr>
        <w:pStyle w:val="Compact"/>
        <w:numPr>
          <w:ilvl w:val="0"/>
          <w:numId w:val="1006"/>
        </w:numPr>
      </w:pPr>
      <w:r>
        <w:t xml:space="preserve">La evaluación del desempeño se realizará con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ζ</w:t>
      </w:r>
      <w:r>
        <w:t xml:space="preserve"> </w:t>
      </w:r>
      <w:r>
        <w:t xml:space="preserve">conforme al diseño estadístico aprobado y a la información reportada por el participante.</w:t>
      </w:r>
    </w:p>
    <w:bookmarkEnd w:id="32"/>
    <w:bookmarkStart w:id="33" w:name="homogeneidad-y-estabilidad-en-esta-ronda"/>
    <w:p>
      <w:pPr>
        <w:pStyle w:val="Heading3"/>
      </w:pPr>
      <w:r>
        <w:t xml:space="preserve">9.5 Homogeneidad y estabilidad en esta ronda</w:t>
      </w:r>
    </w:p>
    <w:p>
      <w:pPr>
        <w:pStyle w:val="Compact"/>
        <w:numPr>
          <w:ilvl w:val="0"/>
          <w:numId w:val="1007"/>
        </w:numPr>
      </w:pPr>
      <w:r>
        <w:t xml:space="preserve">Para la ronda simple no se desarrolla un estudio de homogeneidad entre unidades distribuidas, dado que el ítem PT es una atmósfera generada in situ.</w:t>
      </w:r>
    </w:p>
    <w:p>
      <w:pPr>
        <w:pStyle w:val="Compact"/>
        <w:numPr>
          <w:ilvl w:val="0"/>
          <w:numId w:val="1007"/>
        </w:numPr>
      </w:pPr>
      <w:r>
        <w:t xml:space="preserve">Sí aplica verificar estabilidad operativa del sistema generador, consistencia del flujo y comportamiento del nivel suministrado durante la jornada de medición.</w:t>
      </w:r>
    </w:p>
    <w:p>
      <w:pPr>
        <w:pStyle w:val="Compact"/>
        <w:numPr>
          <w:ilvl w:val="0"/>
          <w:numId w:val="1007"/>
        </w:numPr>
      </w:pPr>
      <w:r>
        <w:t xml:space="preserve">Cualquier evidencia de inestabilidad relevante debe registrarse y evaluarse antes de aceptar los resultados para comparación.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4ee93fa2fa6c28837b5c3f11fdc5e628c882d41"/>
    <w:p>
      <w:pPr>
        <w:pStyle w:val="Heading2"/>
      </w:pPr>
      <w:r>
        <w:t xml:space="preserve">10. Criterios de aceptación y liberación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Criterio mínimo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vigentes</w:t>
            </w:r>
          </w:p>
        </w:tc>
        <w:tc>
          <w:tcPr/>
          <w:p>
            <w:pPr>
              <w:pStyle w:val="Compact"/>
            </w:pPr>
            <w:r>
              <w:t xml:space="preserve">Certificados válidos para CO y SO₂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críticos disponibles</w:t>
            </w:r>
          </w:p>
        </w:tc>
        <w:tc>
          <w:tcPr/>
          <w:p>
            <w:pPr>
              <w:pStyle w:val="Compact"/>
            </w:pPr>
            <w:r>
              <w:t xml:space="preserve">Sistema de dilución, manifold, UPS y aire cero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pre-ronda completa</w:t>
            </w:r>
          </w:p>
        </w:tc>
        <w:tc>
          <w:tcPr/>
          <w:p>
            <w:pPr>
              <w:pStyle w:val="Compact"/>
            </w:pPr>
            <w:r>
              <w:t xml:space="preserve">F-PSEA-05A, cronograma y comunicaciones emitidas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estadístico aprobado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y score definidos por instructivo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Responsables asignados</w:t>
            </w:r>
          </w:p>
        </w:tc>
        <w:tc>
          <w:tcPr/>
          <w:p>
            <w:pPr>
              <w:pStyle w:val="Compact"/>
            </w:pPr>
            <w:r>
              <w:t xml:space="preserve">Roles nominales y firmas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Start w:id="35" w:name="X80330860d9107f442838cfdee51db8248adb3ec"/>
    <w:p>
      <w:pPr>
        <w:pStyle w:val="Heading3"/>
      </w:pPr>
      <w:r>
        <w:t xml:space="preserve">10.1 Integridad de resultados, reporte y devoluciones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Aplicación en la ronda simple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normalizado de reporte</w:t>
            </w:r>
          </w:p>
        </w:tc>
        <w:tc>
          <w:tcPr/>
          <w:p>
            <w:pPr>
              <w:pStyle w:val="Compact"/>
            </w:pPr>
            <w:r>
              <w:t xml:space="preserve">Cargue de resultados mediante plantilla o aplicativo definido por 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de datos crudos o soporte mínimo</w:t>
            </w:r>
          </w:p>
        </w:tc>
        <w:tc>
          <w:tcPr/>
          <w:p>
            <w:pPr>
              <w:pStyle w:val="Compact"/>
            </w:pPr>
            <w:r>
              <w:t xml:space="preserve">Requerido cuando sea necesario sustentar evaluación técnica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interna de consistencia</w:t>
            </w:r>
          </w:p>
        </w:tc>
        <w:tc>
          <w:tcPr/>
          <w:p>
            <w:pPr>
              <w:pStyle w:val="Compact"/>
            </w:pPr>
            <w:r>
              <w:t xml:space="preserve">Validación de completitud, unidades y trazabilidad antes del análisis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Retroalimentación al participante</w:t>
            </w:r>
          </w:p>
        </w:tc>
        <w:tc>
          <w:tcPr/>
          <w:p>
            <w:pPr>
              <w:pStyle w:val="Compact"/>
            </w:pPr>
            <w:r>
              <w:t xml:space="preserve">Devolución preliminar o informe según cronograma del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Incumplimiento de ventana de reporte (&gt;15 días)</w:t>
            </w:r>
          </w:p>
        </w:tc>
        <w:tc>
          <w:tcPr/>
          <w:p>
            <w:pPr>
              <w:pStyle w:val="Compact"/>
            </w:pPr>
            <w:r>
              <w:t xml:space="preserve">Activar recordatorio formal, registrar incidente administrativo y definir si el resultado se procesa fuera de plazo con observación o se declara extemporáneo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35"/>
    <w:bookmarkStart w:id="36" w:name="X9c496e8e69ca4cfca6cb74bf809391ceef2d58b"/>
    <w:p>
      <w:pPr>
        <w:pStyle w:val="Heading3"/>
      </w:pPr>
      <w:r>
        <w:t xml:space="preserve">10.2 Confidencialidad y publicidad de resultados</w:t>
      </w:r>
    </w:p>
    <w:p>
      <w:pPr>
        <w:pStyle w:val="Compact"/>
        <w:numPr>
          <w:ilvl w:val="0"/>
          <w:numId w:val="1008"/>
        </w:numPr>
      </w:pPr>
      <w:r>
        <w:t xml:space="preserve">Los resultados individuales del participante se gestionan con control de acceso y uso restringido al esquema CALAIRE-EA y a los fines autorizados del programa.</w:t>
      </w:r>
    </w:p>
    <w:p>
      <w:pPr>
        <w:pStyle w:val="Compact"/>
        <w:numPr>
          <w:ilvl w:val="0"/>
          <w:numId w:val="1008"/>
        </w:numPr>
      </w:pPr>
      <w:r>
        <w:t xml:space="preserve">La difusión externa de conclusiones debe respetar la codificación del participante y las reglas de confidencialidad definidas en la documentación del esquema.</w:t>
      </w:r>
    </w:p>
    <w:p>
      <w:pPr>
        <w:pStyle w:val="Compact"/>
        <w:numPr>
          <w:ilvl w:val="0"/>
          <w:numId w:val="1008"/>
        </w:numPr>
      </w:pPr>
      <w:r>
        <w:t xml:space="preserve">Cuando aplique, se informará al participante la posibilidad de uso de resultados dentro de procesos institucionales o de acreditación asociados al programa.</w:t>
      </w:r>
    </w:p>
    <w:bookmarkEnd w:id="36"/>
    <w:bookmarkStart w:id="37" w:name="X6b007d4dd5e9eafae92ca6510e76d2bec4b9f4a"/>
    <w:p>
      <w:pPr>
        <w:pStyle w:val="Heading3"/>
      </w:pPr>
      <w:r>
        <w:t xml:space="preserve">10.3 Adaptaciones y exclusiones explícitas de esta ronda</w:t>
      </w:r>
    </w:p>
    <w:p>
      <w:pPr>
        <w:pStyle w:val="Compact"/>
        <w:numPr>
          <w:ilvl w:val="0"/>
          <w:numId w:val="1009"/>
        </w:numPr>
      </w:pPr>
      <w:r>
        <w:t xml:space="preserve">No aplica capacidad simultánea de hasta ocho instrumentos; esta ronda se planifica para un solo participante conectado al manifold CALAIRE.</w:t>
      </w:r>
    </w:p>
    <w:p>
      <w:pPr>
        <w:pStyle w:val="Compact"/>
        <w:numPr>
          <w:ilvl w:val="0"/>
          <w:numId w:val="1009"/>
        </w:numPr>
      </w:pPr>
      <w:r>
        <w:t xml:space="preserve">No aplica valor asignado por consenso, promedio robusto, mediana ni cálculo interlaboratorio multi-participante.</w:t>
      </w:r>
    </w:p>
    <w:p>
      <w:pPr>
        <w:pStyle w:val="Compact"/>
        <w:numPr>
          <w:ilvl w:val="0"/>
          <w:numId w:val="1009"/>
        </w:numPr>
      </w:pPr>
      <w:r>
        <w:t xml:space="preserve">No aplica distribución de múltiples ítems físicos homogéneos; el ítem PT se genera y entrega in situ.</w:t>
      </w:r>
    </w:p>
    <w:p>
      <w:pPr>
        <w:pStyle w:val="Compact"/>
        <w:numPr>
          <w:ilvl w:val="0"/>
          <w:numId w:val="1009"/>
        </w:numPr>
      </w:pPr>
      <w:r>
        <w:t xml:space="preserve">No aplica clasificación por diferentes métodos de medición, porque la ronda se diseña sobre un marco metodológico comparable para gases criterio.</w:t>
      </w:r>
    </w:p>
    <w:p>
      <w:pPr>
        <w:pStyle w:val="Compact"/>
        <w:numPr>
          <w:ilvl w:val="0"/>
          <w:numId w:val="1009"/>
        </w:numPr>
      </w:pPr>
      <w:r>
        <w:t xml:space="preserve">Los elementos del documento general asociados a operación continua del programa se incorporan aquí solo cuando afectan la ejecución de esta ronda específica.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ampos-pendientes-de-diligenciamiento"/>
    <w:p>
      <w:pPr>
        <w:pStyle w:val="Heading2"/>
      </w:pPr>
      <w:r>
        <w:t xml:space="preserve">11. Campos pendientes de diligenciamiento</w:t>
      </w:r>
    </w:p>
    <w:p>
      <w:pPr>
        <w:pStyle w:val="Compact"/>
        <w:numPr>
          <w:ilvl w:val="0"/>
          <w:numId w:val="1010"/>
        </w:numPr>
      </w:pPr>
      <w:r>
        <w:t xml:space="preserve">Código formal de la ronda.</w:t>
      </w:r>
    </w:p>
    <w:p>
      <w:pPr>
        <w:pStyle w:val="Compact"/>
        <w:numPr>
          <w:ilvl w:val="0"/>
          <w:numId w:val="1010"/>
        </w:numPr>
      </w:pPr>
      <w:r>
        <w:t xml:space="preserve">Niveles de concentración y setpoints aprobados para CO y SO₂.</w:t>
      </w:r>
    </w:p>
    <w:p>
      <w:pPr>
        <w:pStyle w:val="Compact"/>
        <w:numPr>
          <w:ilvl w:val="0"/>
          <w:numId w:val="1010"/>
        </w:numPr>
      </w:pPr>
      <w:r>
        <w:t xml:space="preserve">Identificación completa de CRM y certificados vigentes.</w:t>
      </w:r>
    </w:p>
    <w:p>
      <w:pPr>
        <w:pStyle w:val="Compact"/>
        <w:numPr>
          <w:ilvl w:val="0"/>
          <w:numId w:val="1010"/>
        </w:numPr>
      </w:pPr>
      <w:r>
        <w:t xml:space="preserve">Responsables nominales de coordinación, operación y revisión.</w:t>
      </w:r>
    </w:p>
    <w:p>
      <w:pPr>
        <w:pStyle w:val="Compact"/>
        <w:numPr>
          <w:ilvl w:val="0"/>
          <w:numId w:val="1010"/>
        </w:numPr>
      </w:pPr>
      <w:r>
        <w:t xml:space="preserve">Valores aprobados de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por analito.</w:t>
      </w:r>
    </w:p>
    <w:p>
      <w:pPr>
        <w:pStyle w:val="Compact"/>
        <w:numPr>
          <w:ilvl w:val="0"/>
          <w:numId w:val="1010"/>
        </w:numPr>
      </w:pPr>
      <w:r>
        <w:t xml:space="preserve">Firmas de elaboración, revisión y aprobación.</w:t>
      </w:r>
    </w:p>
    <w:p>
      <w:r>
        <w:pict>
          <v:rect style="width:0;height:1.5pt" o:hralign="center" o:hrstd="t" o:hr="t"/>
        </w:pict>
      </w:r>
    </w:p>
    <w:bookmarkEnd w:id="39"/>
    <w:bookmarkStart w:id="40" w:name="aprobaciones"/>
    <w:p>
      <w:pPr>
        <w:pStyle w:val="Heading2"/>
      </w:pPr>
      <w:r>
        <w:t xml:space="preserve">12. 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