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5-confirmación-de-participación"/>
    <w:p>
      <w:pPr>
        <w:pStyle w:val="Heading1"/>
      </w:pPr>
      <w:r>
        <w:t xml:space="preserve">F-PSEA-05 — Confirmación de Participación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= SIATA + 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P-PSEA-02 (O₃) y P-PSEA-04 (NO/NO₂)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participantes</w:t>
            </w:r>
          </w:p>
        </w:tc>
        <w:tc>
          <w:tcPr/>
          <w:p>
            <w:pPr>
              <w:pStyle w:val="Compact"/>
            </w:pPr>
            <w:r>
              <w:t xml:space="preserve">6 analizadores (3 por participante: 1 O₃, 1 NO, 1 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2: 27 de abril – 2 de mayo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medición en paralelo en instalaciones del PEA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(SIATA):</w:t>
      </w:r>
      <w:r>
        <w:t xml:space="preserve"> </w:t>
      </w:r>
      <w:r>
        <w:t xml:space="preserve">código asignado, razón social, contacto, firma de aceptación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 (UPB):</w:t>
      </w:r>
      <w:r>
        <w:t xml:space="preserve"> </w:t>
      </w:r>
      <w:r>
        <w:t xml:space="preserve">código asignado, razón social, contacto, firma de aceptación</w:t>
      </w:r>
    </w:p>
    <w:p>
      <w:pPr>
        <w:pStyle w:val="Compact"/>
        <w:numPr>
          <w:ilvl w:val="0"/>
          <w:numId w:val="1003"/>
        </w:numPr>
      </w:pPr>
      <w:r>
        <w:t xml:space="preserve">Analitos confirmados por P1: O₃, NO, NO₂</w:t>
      </w:r>
    </w:p>
    <w:p>
      <w:pPr>
        <w:pStyle w:val="Compact"/>
        <w:numPr>
          <w:ilvl w:val="0"/>
          <w:numId w:val="1004"/>
        </w:numPr>
      </w:pPr>
      <w:r>
        <w:t xml:space="preserve">Analitos confirmados por P2: O₃, NO, NO₂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 (ambos participantes)</w:t>
      </w:r>
    </w:p>
    <w:p>
      <w:pPr>
        <w:pStyle w:val="Compact"/>
        <w:numPr>
          <w:ilvl w:val="0"/>
          <w:numId w:val="1006"/>
        </w:numPr>
      </w:pPr>
      <w:r>
        <w:t xml:space="preserve">Declaraciones de confidencialidad firmadas (P1 y P2)</w:t>
      </w:r>
    </w:p>
    <w:p>
      <w:pPr>
        <w:pStyle w:val="Compact"/>
        <w:numPr>
          <w:ilvl w:val="0"/>
          <w:numId w:val="1007"/>
        </w:numPr>
      </w:pPr>
      <w:r>
        <w:t xml:space="preserve">Acuerdos de condiciones de la ronda (P1 y P2)</w:t>
      </w:r>
    </w:p>
    <w:p>
      <w:pPr>
        <w:pStyle w:val="Compact"/>
        <w:numPr>
          <w:ilvl w:val="0"/>
          <w:numId w:val="1008"/>
        </w:numPr>
      </w:pPr>
      <w:r>
        <w:t xml:space="preserve">Coordinación de horarios de medición en paralelo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