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09-registro-de-homogeneidad"/>
    <w:p>
      <w:pPr>
        <w:pStyle w:val="Heading1"/>
      </w:pPr>
      <w:r>
        <w:t xml:space="preserve">F-PSEA-09 — Registro de Homogeneidad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F-PSEA-09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las pruebas de homogeneidad del ítem PT conforme a ISO 13528 Anexo B, adaptado a atmósferas generadas in situ. Incluye: ≥10 atmósferas independientes al mismo setpoint, réplicas de medición (≥2 por atmósfera), cálculo de s_hom, verificación del criterio s_hom ≤ 0,3 × σ_pt, decisión de conformidad, fecha, operador y aprobación. Formato de registro para I-PSEA-10.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Anexo B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del estudio de homogeneidad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f329d4410adbc0d0e4385522e2b109410e10d5c"/>
    <w:p>
      <w:pPr>
        <w:pStyle w:val="Heading2"/>
      </w:pPr>
      <w:r>
        <w:t xml:space="preserve">Planificación de Contenido — Ronda Compleja Fase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O₃, NO, NO₂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atmósferas</w:t>
            </w:r>
          </w:p>
        </w:tc>
        <w:tc>
          <w:tcPr/>
          <w:p>
            <w:pPr>
              <w:pStyle w:val="Compact"/>
            </w:pPr>
            <w:r>
              <w:t xml:space="preserve">≥10 por analito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Réplicas por atmósfera</w:t>
            </w:r>
          </w:p>
        </w:tc>
        <w:tc>
          <w:tcPr/>
          <w:p>
            <w:pPr>
              <w:pStyle w:val="Compact"/>
            </w:pPr>
            <w:r>
              <w:t xml:space="preserve">≥2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 de aceptación</w:t>
            </w:r>
          </w:p>
        </w:tc>
        <w:tc>
          <w:tcPr/>
          <w:p>
            <w:pPr>
              <w:pStyle w:val="Compact"/>
            </w:pPr>
            <w:r>
              <w:t xml:space="preserve">s_hom ≤ 0,3 × σ_pt (por analito)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3 estudios de homogeneidad independientes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Tabla de dato crudo: O₃ — ≥10 atmósferas × ≥2 réplicas</w:t>
      </w:r>
    </w:p>
    <w:p>
      <w:pPr>
        <w:pStyle w:val="Compact"/>
        <w:numPr>
          <w:ilvl w:val="0"/>
          <w:numId w:val="1002"/>
        </w:numPr>
      </w:pPr>
      <w:r>
        <w:t xml:space="preserve">Tabla de dato crudo: NO — ≥10 atmósferas × ≥2 réplicas</w:t>
      </w:r>
    </w:p>
    <w:p>
      <w:pPr>
        <w:pStyle w:val="Compact"/>
        <w:numPr>
          <w:ilvl w:val="0"/>
          <w:numId w:val="1003"/>
        </w:numPr>
      </w:pPr>
      <w:r>
        <w:t xml:space="preserve">Tabla de dato crudo: NO₂ — ≥10 atmósferas × ≥2 réplicas</w:t>
      </w:r>
    </w:p>
    <w:p>
      <w:pPr>
        <w:pStyle w:val="Compact"/>
        <w:numPr>
          <w:ilvl w:val="0"/>
          <w:numId w:val="1004"/>
        </w:numPr>
      </w:pPr>
      <w:r>
        <w:t xml:space="preserve">Cálculo de s_hom para O₃, NO, NO₂</w:t>
      </w:r>
    </w:p>
    <w:p>
      <w:pPr>
        <w:pStyle w:val="Compact"/>
        <w:numPr>
          <w:ilvl w:val="0"/>
          <w:numId w:val="1005"/>
        </w:numPr>
      </w:pPr>
      <w:r>
        <w:t xml:space="preserve">Verificación: s_hom(O₃) ≤ 0,3 × σ_pt(O₃)</w:t>
      </w:r>
    </w:p>
    <w:p>
      <w:pPr>
        <w:pStyle w:val="Compact"/>
        <w:numPr>
          <w:ilvl w:val="0"/>
          <w:numId w:val="1006"/>
        </w:numPr>
      </w:pPr>
      <w:r>
        <w:t xml:space="preserve">Verificación: s_hom(NO) ≤ 0,3 × σ_pt(NO)</w:t>
      </w:r>
    </w:p>
    <w:p>
      <w:pPr>
        <w:pStyle w:val="Compact"/>
        <w:numPr>
          <w:ilvl w:val="0"/>
          <w:numId w:val="1007"/>
        </w:numPr>
      </w:pPr>
      <w:r>
        <w:t xml:space="preserve">Verificación: s_hom(NO₂) ≤ 0,3 × σ_pt(NO₂)</w:t>
      </w:r>
    </w:p>
    <w:p>
      <w:pPr>
        <w:pStyle w:val="Compact"/>
        <w:numPr>
          <w:ilvl w:val="0"/>
          <w:numId w:val="1008"/>
        </w:numPr>
      </w:pPr>
      <w:r>
        <w:t xml:space="preserve">Decisión de conformidad por analito (CONFORME / NO CONFORME)</w:t>
      </w:r>
    </w:p>
    <w:p>
      <w:pPr>
        <w:pStyle w:val="Compact"/>
        <w:numPr>
          <w:ilvl w:val="0"/>
          <w:numId w:val="1009"/>
        </w:numPr>
      </w:pPr>
      <w:r>
        <w:t xml:space="preserve">Fecha, operador y firma de aprobación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